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B9F6" w14:textId="5C081511" w:rsidR="004B0F47" w:rsidRDefault="00000000">
      <w:pPr>
        <w:pStyle w:val="Title"/>
        <w:spacing w:line="276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Jo-Ellen N. Webster</w:t>
      </w:r>
      <w:r w:rsidR="00112EEF">
        <w:rPr>
          <w:rFonts w:ascii="Verdana" w:eastAsia="Verdana" w:hAnsi="Verdana" w:cs="Verdana"/>
          <w:sz w:val="28"/>
          <w:szCs w:val="28"/>
        </w:rPr>
        <w:t>, PMP, CSPO, CSM, LSS-GB</w:t>
      </w:r>
    </w:p>
    <w:p w14:paraId="7D770B00" w14:textId="77777777" w:rsidR="004B0F47" w:rsidRDefault="00000000">
      <w:pPr>
        <w:pStyle w:val="Title"/>
        <w:spacing w:line="276" w:lineRule="auto"/>
        <w:rPr>
          <w:rFonts w:ascii="Verdana" w:eastAsia="Verdana" w:hAnsi="Verdana" w:cs="Verdana"/>
          <w:b w:val="0"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 w:val="0"/>
          <w:sz w:val="20"/>
          <w:szCs w:val="20"/>
        </w:rPr>
        <w:t>6725 SW 41</w:t>
      </w:r>
      <w:r>
        <w:rPr>
          <w:rFonts w:ascii="Verdana" w:eastAsia="Verdana" w:hAnsi="Verdana" w:cs="Verdana"/>
          <w:b w:val="0"/>
          <w:sz w:val="20"/>
          <w:szCs w:val="20"/>
          <w:vertAlign w:val="superscript"/>
        </w:rPr>
        <w:t>st</w:t>
      </w:r>
      <w:r>
        <w:rPr>
          <w:rFonts w:ascii="Verdana" w:eastAsia="Verdana" w:hAnsi="Verdana" w:cs="Verdana"/>
          <w:b w:val="0"/>
          <w:sz w:val="20"/>
          <w:szCs w:val="20"/>
        </w:rPr>
        <w:t xml:space="preserve"> Drive ~ Davie, FL 33314</w:t>
      </w:r>
    </w:p>
    <w:p w14:paraId="5AEDE9C6" w14:textId="77777777" w:rsidR="004B0F47" w:rsidRDefault="00000000">
      <w:pPr>
        <w:pStyle w:val="Title"/>
        <w:spacing w:line="276" w:lineRule="auto"/>
        <w:rPr>
          <w:rFonts w:ascii="Verdana" w:eastAsia="Verdana" w:hAnsi="Verdana" w:cs="Verdana"/>
          <w:b w:val="0"/>
          <w:sz w:val="20"/>
          <w:szCs w:val="20"/>
        </w:rPr>
      </w:pPr>
      <w:r>
        <w:rPr>
          <w:rFonts w:ascii="Verdana" w:eastAsia="Verdana" w:hAnsi="Verdana" w:cs="Verdana"/>
          <w:b w:val="0"/>
          <w:sz w:val="20"/>
          <w:szCs w:val="20"/>
        </w:rPr>
        <w:t>(954) 661-7965 ~ jnwebste@hotmail.com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9A2658D" wp14:editId="461EBC05">
                <wp:simplePos x="0" y="0"/>
                <wp:positionH relativeFrom="column">
                  <wp:posOffset>-68578</wp:posOffset>
                </wp:positionH>
                <wp:positionV relativeFrom="paragraph">
                  <wp:posOffset>236220</wp:posOffset>
                </wp:positionV>
                <wp:extent cx="6743700" cy="0"/>
                <wp:effectExtent l="0" t="38100" r="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-68578</wp:posOffset>
                </wp:positionH>
                <wp:positionV relativeFrom="paragraph">
                  <wp:posOffset>236220</wp:posOffset>
                </wp:positionV>
                <wp:extent cx="6743700" cy="76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2E249F" w14:textId="77777777" w:rsidR="004B0F47" w:rsidRDefault="004B0F47">
      <w:pPr>
        <w:spacing w:line="276" w:lineRule="auto"/>
        <w:rPr>
          <w:rFonts w:ascii="Arial" w:eastAsia="Arial" w:hAnsi="Arial" w:cs="Arial"/>
          <w:b/>
        </w:rPr>
      </w:pPr>
    </w:p>
    <w:p w14:paraId="293FE3D8" w14:textId="77777777" w:rsidR="004B0F47" w:rsidRDefault="004B0F47">
      <w:pPr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314A785" w14:textId="77777777" w:rsidR="004B0F47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EDUCATION &amp; CERTIFICATIONS</w:t>
      </w:r>
    </w:p>
    <w:p w14:paraId="1A6B48D3" w14:textId="77777777" w:rsidR="004B0F47" w:rsidRDefault="00000000">
      <w:pPr>
        <w:tabs>
          <w:tab w:val="left" w:pos="702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Project Management Professional</w:t>
      </w:r>
      <w:r>
        <w:rPr>
          <w:rFonts w:ascii="Arial" w:eastAsia="Arial" w:hAnsi="Arial" w:cs="Arial"/>
          <w:sz w:val="22"/>
          <w:szCs w:val="22"/>
        </w:rPr>
        <w:t>, Project Management Institute</w:t>
      </w:r>
    </w:p>
    <w:p w14:paraId="1FDC1C85" w14:textId="1508D5CB" w:rsidR="00112EEF" w:rsidRDefault="00112EEF">
      <w:pPr>
        <w:tabs>
          <w:tab w:val="left" w:pos="702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Certified Scrum Product Owner,</w:t>
      </w:r>
      <w:r w:rsidRPr="00112EEF">
        <w:rPr>
          <w:rFonts w:ascii="Arial" w:eastAsia="Arial" w:hAnsi="Arial" w:cs="Arial"/>
          <w:bCs/>
          <w:sz w:val="22"/>
          <w:szCs w:val="22"/>
        </w:rPr>
        <w:t xml:space="preserve"> Scrum Alliance</w:t>
      </w:r>
    </w:p>
    <w:p w14:paraId="7D2BC7A4" w14:textId="3D1D15DA" w:rsidR="008C35B7" w:rsidRPr="008C35B7" w:rsidRDefault="008C35B7">
      <w:pPr>
        <w:tabs>
          <w:tab w:val="left" w:pos="70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Certified Scrum Master,</w:t>
      </w:r>
      <w:r>
        <w:rPr>
          <w:rFonts w:ascii="Arial" w:eastAsia="Arial" w:hAnsi="Arial" w:cs="Arial"/>
          <w:sz w:val="22"/>
          <w:szCs w:val="22"/>
        </w:rPr>
        <w:t xml:space="preserve"> Scrum Alliance</w:t>
      </w:r>
    </w:p>
    <w:p w14:paraId="20D58046" w14:textId="060B5E42" w:rsidR="004B0F47" w:rsidRDefault="00000000">
      <w:pPr>
        <w:tabs>
          <w:tab w:val="left" w:pos="70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Certified Lean Six Sigma Green Belt</w:t>
      </w:r>
      <w:r>
        <w:rPr>
          <w:rFonts w:ascii="Arial" w:eastAsia="Arial" w:hAnsi="Arial" w:cs="Arial"/>
          <w:sz w:val="22"/>
          <w:szCs w:val="22"/>
        </w:rPr>
        <w:t>, JCG Management Consulting</w:t>
      </w:r>
    </w:p>
    <w:p w14:paraId="25555C53" w14:textId="076B5A14" w:rsidR="00C3054B" w:rsidRDefault="00C3054B">
      <w:pPr>
        <w:tabs>
          <w:tab w:val="left" w:pos="70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Google AI Essentials,</w:t>
      </w:r>
      <w:r>
        <w:rPr>
          <w:rFonts w:ascii="Arial" w:eastAsia="Arial" w:hAnsi="Arial" w:cs="Arial"/>
          <w:sz w:val="22"/>
          <w:szCs w:val="22"/>
        </w:rPr>
        <w:t xml:space="preserve"> Coursera</w:t>
      </w:r>
    </w:p>
    <w:p w14:paraId="39A6CB0E" w14:textId="77777777" w:rsidR="004B0F47" w:rsidRDefault="00000000">
      <w:pPr>
        <w:tabs>
          <w:tab w:val="left" w:pos="70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Master of Arts, Liberal Studies</w:t>
      </w:r>
      <w:r>
        <w:rPr>
          <w:rFonts w:ascii="Arial" w:eastAsia="Arial" w:hAnsi="Arial" w:cs="Arial"/>
          <w:sz w:val="22"/>
          <w:szCs w:val="22"/>
        </w:rPr>
        <w:t>, Florida Atlantic University</w:t>
      </w:r>
    </w:p>
    <w:p w14:paraId="7FB15221" w14:textId="183C6151" w:rsidR="004B0F47" w:rsidRPr="00AF7EB2" w:rsidRDefault="00000000" w:rsidP="00AF7EB2">
      <w:pPr>
        <w:tabs>
          <w:tab w:val="left" w:pos="70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Bachelor of Arts with Honors, Sociology</w:t>
      </w:r>
      <w:r>
        <w:rPr>
          <w:rFonts w:ascii="Arial" w:eastAsia="Arial" w:hAnsi="Arial" w:cs="Arial"/>
          <w:sz w:val="22"/>
          <w:szCs w:val="22"/>
        </w:rPr>
        <w:t>, Florida Atlantic University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50A8C4CF" w14:textId="77777777" w:rsidR="004B0F47" w:rsidRDefault="004B0F47">
      <w:pPr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59306BF" w14:textId="77777777" w:rsidR="004B0F47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WORK HISTORY </w:t>
      </w:r>
    </w:p>
    <w:p w14:paraId="23E6EDF7" w14:textId="4FDB249F" w:rsidR="00AF7EB2" w:rsidRDefault="00AF7EB2" w:rsidP="00AF7EB2">
      <w:pPr>
        <w:tabs>
          <w:tab w:val="left" w:pos="6480"/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Carnival Corporat</w:t>
      </w:r>
      <w:r w:rsidR="00743FB0">
        <w:rPr>
          <w:rFonts w:ascii="Arial" w:eastAsia="Arial" w:hAnsi="Arial" w:cs="Arial"/>
          <w:b/>
          <w:sz w:val="22"/>
          <w:szCs w:val="22"/>
        </w:rPr>
        <w:t>ion</w:t>
      </w:r>
      <w:r>
        <w:rPr>
          <w:rFonts w:ascii="Arial" w:eastAsia="Arial" w:hAnsi="Arial" w:cs="Arial"/>
          <w:b/>
          <w:sz w:val="22"/>
          <w:szCs w:val="22"/>
        </w:rPr>
        <w:t xml:space="preserve"> (GXI, Princess Cruise Lines)</w:t>
      </w:r>
      <w:r>
        <w:rPr>
          <w:rFonts w:ascii="Arial" w:eastAsia="Arial" w:hAnsi="Arial" w:cs="Arial"/>
          <w:b/>
          <w:sz w:val="22"/>
          <w:szCs w:val="22"/>
        </w:rPr>
        <w:tab/>
        <w:t xml:space="preserve">October 2021 to </w:t>
      </w:r>
      <w:r w:rsidR="00B97D2E">
        <w:rPr>
          <w:rFonts w:ascii="Arial" w:eastAsia="Arial" w:hAnsi="Arial" w:cs="Arial"/>
          <w:b/>
          <w:sz w:val="22"/>
          <w:szCs w:val="22"/>
        </w:rPr>
        <w:t>November 2025</w:t>
      </w:r>
    </w:p>
    <w:p w14:paraId="31076EB7" w14:textId="3C169755" w:rsidR="00AF7EB2" w:rsidRDefault="00AF7EB2" w:rsidP="00AF7EB2">
      <w:pPr>
        <w:tabs>
          <w:tab w:val="left" w:pos="720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Princess Cruise Lines, Senior Project Manager:  Deployment &amp; Activation – New Build IT Infrastructure</w:t>
      </w:r>
    </w:p>
    <w:p w14:paraId="052F2193" w14:textId="5C579E27" w:rsidR="00AF7EB2" w:rsidRDefault="006D28E1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Develop</w:t>
      </w:r>
      <w:r w:rsidR="00B97D2E">
        <w:rPr>
          <w:rFonts w:ascii="Arial" w:eastAsia="Arial" w:hAnsi="Arial" w:cs="Arial"/>
          <w:color w:val="000000" w:themeColor="text1"/>
          <w:sz w:val="22"/>
          <w:szCs w:val="22"/>
        </w:rPr>
        <w:t>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and maintain</w:t>
      </w:r>
      <w:r w:rsidR="00B97D2E">
        <w:rPr>
          <w:rFonts w:ascii="Arial" w:eastAsia="Arial" w:hAnsi="Arial" w:cs="Arial"/>
          <w:color w:val="000000" w:themeColor="text1"/>
          <w:sz w:val="22"/>
          <w:szCs w:val="22"/>
        </w:rPr>
        <w:t>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leadership reports</w:t>
      </w:r>
      <w:r w:rsidR="005A2D80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dashboards</w:t>
      </w:r>
      <w:r w:rsidR="005A2D80">
        <w:rPr>
          <w:rFonts w:ascii="Arial" w:eastAsia="Arial" w:hAnsi="Arial" w:cs="Arial"/>
          <w:color w:val="000000" w:themeColor="text1"/>
          <w:sz w:val="22"/>
          <w:szCs w:val="22"/>
        </w:rPr>
        <w:t xml:space="preserve"> and tracking tools.</w:t>
      </w:r>
    </w:p>
    <w:p w14:paraId="208DDC95" w14:textId="3EE5B50A" w:rsidR="001B6440" w:rsidRDefault="001B6440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Buil</w:t>
      </w:r>
      <w:r w:rsidR="00B97D2E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out and maintain</w:t>
      </w:r>
      <w:r w:rsidR="00B97D2E">
        <w:rPr>
          <w:rFonts w:ascii="Arial" w:eastAsia="Arial" w:hAnsi="Arial" w:cs="Arial"/>
          <w:color w:val="000000" w:themeColor="text1"/>
          <w:sz w:val="22"/>
          <w:szCs w:val="22"/>
        </w:rPr>
        <w:t>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document management system</w:t>
      </w:r>
      <w:r w:rsidR="00DB31D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E6041FA" w14:textId="15EBD598" w:rsidR="006D28E1" w:rsidRDefault="005A2D80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r w:rsidR="00B97D2E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ve 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>Enterprise Application deployment</w:t>
      </w:r>
      <w:r w:rsidR="00DD55A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ensuring </w:t>
      </w:r>
      <w:r w:rsidR="00632423">
        <w:rPr>
          <w:rFonts w:ascii="Arial" w:eastAsia="Arial" w:hAnsi="Arial" w:cs="Arial"/>
          <w:color w:val="000000" w:themeColor="text1"/>
          <w:sz w:val="22"/>
          <w:szCs w:val="22"/>
        </w:rPr>
        <w:t>cross-organizational en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gagement, process partner support and mitigation of issues and blockers.</w:t>
      </w:r>
    </w:p>
    <w:p w14:paraId="4367B796" w14:textId="136DF553" w:rsidR="006D28E1" w:rsidRPr="005F07A4" w:rsidRDefault="005A2D80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Manage</w:t>
      </w:r>
      <w:r w:rsidR="00B97D2E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>xIOT infrastructure cabling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projects, identifying and tracking requirements, negotiating work approvals with process partners, liaising with vendor</w:t>
      </w:r>
      <w:r w:rsidR="00632423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and onboard leadership to execute work, SOW reconciliation and project closeout documentation</w:t>
      </w:r>
      <w:r w:rsidR="0063242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DF625EF" w14:textId="77777777" w:rsidR="00BC25CA" w:rsidRDefault="00BC25CA" w:rsidP="00AF7EB2">
      <w:pPr>
        <w:tabs>
          <w:tab w:val="left" w:pos="720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</w:p>
    <w:p w14:paraId="6D43F25F" w14:textId="2C943D08" w:rsidR="00AF7EB2" w:rsidRDefault="00AF7EB2" w:rsidP="00AF7EB2">
      <w:pPr>
        <w:tabs>
          <w:tab w:val="left" w:pos="720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GXI, Senior Project/Product Manager:  Deployment &amp; Activation – Crew Devices</w:t>
      </w:r>
      <w:r w:rsidR="00632423">
        <w:rPr>
          <w:rFonts w:ascii="Arial" w:eastAsia="Arial" w:hAnsi="Arial" w:cs="Arial"/>
          <w:i/>
          <w:sz w:val="22"/>
          <w:szCs w:val="22"/>
        </w:rPr>
        <w:t>, Princess Cruise Lines</w:t>
      </w:r>
    </w:p>
    <w:p w14:paraId="4FF4936D" w14:textId="6F33121D" w:rsidR="005F07A4" w:rsidRDefault="00632423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Collected r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 xml:space="preserve">equirements,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developed 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>process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es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 xml:space="preserve"> and deploy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ed devices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00DB31D0">
        <w:rPr>
          <w:rFonts w:ascii="Arial" w:eastAsia="Arial" w:hAnsi="Arial" w:cs="Arial"/>
          <w:color w:val="000000" w:themeColor="text1"/>
          <w:sz w:val="22"/>
          <w:szCs w:val="22"/>
        </w:rPr>
        <w:t xml:space="preserve">six 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>Return-to-Service</w:t>
      </w:r>
      <w:r w:rsidR="00DB31D0">
        <w:rPr>
          <w:rFonts w:ascii="Arial" w:eastAsia="Arial" w:hAnsi="Arial" w:cs="Arial"/>
          <w:color w:val="000000" w:themeColor="text1"/>
          <w:sz w:val="22"/>
          <w:szCs w:val="22"/>
        </w:rPr>
        <w:t xml:space="preserve"> ships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r w:rsidR="00DB31D0">
        <w:rPr>
          <w:rFonts w:ascii="Arial" w:eastAsia="Arial" w:hAnsi="Arial" w:cs="Arial"/>
          <w:color w:val="000000" w:themeColor="text1"/>
          <w:sz w:val="22"/>
          <w:szCs w:val="22"/>
        </w:rPr>
        <w:t xml:space="preserve">two </w:t>
      </w:r>
      <w:r w:rsidR="006D28E1">
        <w:rPr>
          <w:rFonts w:ascii="Arial" w:eastAsia="Arial" w:hAnsi="Arial" w:cs="Arial"/>
          <w:color w:val="000000" w:themeColor="text1"/>
          <w:sz w:val="22"/>
          <w:szCs w:val="22"/>
        </w:rPr>
        <w:t>New Builds.</w:t>
      </w:r>
    </w:p>
    <w:p w14:paraId="4D6ED151" w14:textId="74CDEC4D" w:rsidR="006D28E1" w:rsidRDefault="006D28E1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Buil</w:t>
      </w:r>
      <w:r w:rsidR="001B6440">
        <w:rPr>
          <w:rFonts w:ascii="Arial" w:eastAsia="Arial" w:hAnsi="Arial" w:cs="Arial"/>
          <w:color w:val="000000" w:themeColor="text1"/>
          <w:sz w:val="22"/>
          <w:szCs w:val="22"/>
        </w:rPr>
        <w:t>t operational support team, and</w:t>
      </w:r>
      <w:r w:rsidR="0063242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processes</w:t>
      </w:r>
      <w:r w:rsidR="001B644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for Device Management</w:t>
      </w:r>
      <w:r w:rsidR="001B6440">
        <w:rPr>
          <w:rFonts w:ascii="Arial" w:eastAsia="Arial" w:hAnsi="Arial" w:cs="Arial"/>
          <w:color w:val="000000" w:themeColor="text1"/>
          <w:sz w:val="22"/>
          <w:szCs w:val="22"/>
        </w:rPr>
        <w:t>.  Inclusive 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re</w:t>
      </w:r>
      <w:r w:rsidR="00632423">
        <w:rPr>
          <w:rFonts w:ascii="Arial" w:eastAsia="Arial" w:hAnsi="Arial" w:cs="Arial"/>
          <w:color w:val="000000" w:themeColor="text1"/>
          <w:sz w:val="22"/>
          <w:szCs w:val="22"/>
        </w:rPr>
        <w:t>plenishment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repair</w:t>
      </w:r>
      <w:r w:rsidR="00632423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analytics and EOL planning.</w:t>
      </w:r>
      <w:r w:rsidR="00DD55A4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444E843F" w14:textId="739533F3" w:rsidR="006D28E1" w:rsidRDefault="006D28E1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Stood up shoreside Air</w:t>
      </w:r>
      <w:r w:rsidR="0014554C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atch test environment and asset management system.</w:t>
      </w:r>
    </w:p>
    <w:p w14:paraId="677B8F0D" w14:textId="07A81055" w:rsidR="006D28E1" w:rsidRDefault="006D28E1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Network support projects including comprehensive onboard assessment, portside connectivity mitigation and onboard testing tools.</w:t>
      </w:r>
    </w:p>
    <w:p w14:paraId="71880568" w14:textId="54169527" w:rsidR="00DB31D0" w:rsidRPr="005F07A4" w:rsidRDefault="00DB31D0" w:rsidP="005F07A4">
      <w:pPr>
        <w:pStyle w:val="ListParagraph"/>
        <w:numPr>
          <w:ilvl w:val="0"/>
          <w:numId w:val="8"/>
        </w:numPr>
        <w:tabs>
          <w:tab w:val="left" w:pos="6480"/>
          <w:tab w:val="left" w:pos="7200"/>
        </w:tabs>
        <w:spacing w:line="276" w:lineRule="auto"/>
        <w:ind w:left="180" w:hanging="1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Created prototypes and liaised with manufacturing on new product development.</w:t>
      </w:r>
    </w:p>
    <w:p w14:paraId="13E3C41B" w14:textId="77777777" w:rsidR="00AF7EB2" w:rsidRDefault="00AF7EB2">
      <w:pPr>
        <w:tabs>
          <w:tab w:val="left" w:pos="6480"/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2476CD84" w14:textId="0406CC99" w:rsidR="004B0F47" w:rsidRDefault="00000000">
      <w:pPr>
        <w:tabs>
          <w:tab w:val="left" w:pos="6480"/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HCA Healthcare</w:t>
      </w:r>
      <w:r>
        <w:rPr>
          <w:rFonts w:ascii="Arial" w:eastAsia="Arial" w:hAnsi="Arial" w:cs="Arial"/>
          <w:b/>
          <w:sz w:val="22"/>
          <w:szCs w:val="22"/>
        </w:rPr>
        <w:tab/>
        <w:t xml:space="preserve">January 2020 to </w:t>
      </w:r>
      <w:r w:rsidR="00AF7EB2">
        <w:rPr>
          <w:rFonts w:ascii="Arial" w:eastAsia="Arial" w:hAnsi="Arial" w:cs="Arial"/>
          <w:b/>
          <w:sz w:val="22"/>
          <w:szCs w:val="22"/>
        </w:rPr>
        <w:t>October 2021</w:t>
      </w:r>
    </w:p>
    <w:p w14:paraId="7CB70BCE" w14:textId="77777777" w:rsidR="004B0F47" w:rsidRDefault="00000000">
      <w:pPr>
        <w:tabs>
          <w:tab w:val="left" w:pos="720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IT Project Manager, ITG East Florida Division</w:t>
      </w:r>
    </w:p>
    <w:p w14:paraId="154CC949" w14:textId="4A3ABA11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Manage</w:t>
      </w:r>
      <w:r w:rsidR="00CD0188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Enterprise, Division and Facility projects through lifecycle, from implementation to project closure.  Projects include</w:t>
      </w:r>
      <w:r w:rsidR="00632423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infrastructure, application</w:t>
      </w:r>
      <w:r w:rsidR="00BC25CA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upgrade</w:t>
      </w:r>
      <w:r w:rsidR="00BC25CA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and equipment implementations</w:t>
      </w:r>
      <w:r w:rsidR="001B6440">
        <w:rPr>
          <w:rFonts w:ascii="Arial" w:eastAsia="Arial" w:hAnsi="Arial" w:cs="Arial"/>
          <w:sz w:val="22"/>
          <w:szCs w:val="22"/>
        </w:rPr>
        <w:t>/upgrad</w:t>
      </w:r>
      <w:r w:rsidR="00DB31D0"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z w:val="22"/>
          <w:szCs w:val="22"/>
        </w:rPr>
        <w:t>.</w:t>
      </w:r>
    </w:p>
    <w:p w14:paraId="3DD2BB47" w14:textId="0B02FB8A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Coordinate</w:t>
      </w:r>
      <w:r w:rsidR="00632423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with cross-functional teams to gain agreement on approach, timeline, dependencies, risks and resources.  Report</w:t>
      </w:r>
      <w:r w:rsidR="001B6440"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 xml:space="preserve"> on project status, communicate</w:t>
      </w:r>
      <w:r w:rsidR="001B6440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with stakeholders, manage</w:t>
      </w:r>
      <w:r w:rsidR="001B6440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vendors and resolve</w:t>
      </w:r>
      <w:r w:rsidR="001B6440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issues and risks.  Monitor</w:t>
      </w:r>
      <w:r w:rsidR="001B6440"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 xml:space="preserve"> projects, and project interdependencies, for facility and end-user impacts.</w:t>
      </w:r>
    </w:p>
    <w:p w14:paraId="586770C0" w14:textId="6683821D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Participate</w:t>
      </w:r>
      <w:r w:rsidR="00632423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in an enterprise-wide application uplift.  Present</w:t>
      </w:r>
      <w:r w:rsidR="00632423"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 xml:space="preserve"> application and project benefits to C-level executives, facilitate</w:t>
      </w:r>
      <w:r w:rsidR="00632423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inter-division pilot and coordinate</w:t>
      </w:r>
      <w:r w:rsidR="00632423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the development of an implementation toolkit.</w:t>
      </w:r>
    </w:p>
    <w:p w14:paraId="135D6D6A" w14:textId="3DC72266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Support</w:t>
      </w:r>
      <w:r w:rsidR="00632423"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 xml:space="preserve"> PMO project intake, workflow, development and governance.  Develop</w:t>
      </w:r>
      <w:r w:rsidR="00632423"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 xml:space="preserve"> forms, processes and procedures to improve efficiency, knowledge transfer, resource management and project management.   </w:t>
      </w:r>
    </w:p>
    <w:p w14:paraId="424A7BE9" w14:textId="1AEF4CFF" w:rsidR="00BC25CA" w:rsidRDefault="00BC25CA">
      <w:pPr>
        <w:rPr>
          <w:rFonts w:ascii="Arial" w:eastAsia="Arial" w:hAnsi="Arial" w:cs="Arial"/>
          <w:b/>
          <w:sz w:val="22"/>
          <w:szCs w:val="22"/>
        </w:rPr>
      </w:pPr>
    </w:p>
    <w:p w14:paraId="33FC25EB" w14:textId="69699266" w:rsidR="004B0F47" w:rsidRDefault="00000000">
      <w:pPr>
        <w:tabs>
          <w:tab w:val="left" w:pos="6480"/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Univision</w:t>
      </w:r>
      <w:r>
        <w:rPr>
          <w:rFonts w:ascii="Arial" w:eastAsia="Arial" w:hAnsi="Arial" w:cs="Arial"/>
          <w:sz w:val="22"/>
          <w:szCs w:val="22"/>
        </w:rPr>
        <w:t xml:space="preserve"> (via ExecuSearch)</w:t>
      </w:r>
      <w:r>
        <w:rPr>
          <w:rFonts w:ascii="Arial" w:eastAsia="Arial" w:hAnsi="Arial" w:cs="Arial"/>
          <w:b/>
          <w:sz w:val="22"/>
          <w:szCs w:val="22"/>
        </w:rPr>
        <w:tab/>
        <w:t>September 2019 to December 2019</w:t>
      </w:r>
    </w:p>
    <w:p w14:paraId="6B477240" w14:textId="77777777" w:rsidR="004B0F47" w:rsidRDefault="00000000">
      <w:pPr>
        <w:tabs>
          <w:tab w:val="left" w:pos="720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Project/Systems Analyst, Broadcast Engineering</w:t>
      </w:r>
    </w:p>
    <w:p w14:paraId="2EF6F5D7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Led large scale equipment identification and data collection effort for the Discovery phase of a signal acquisition project.</w:t>
      </w:r>
    </w:p>
    <w:p w14:paraId="534204DB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Built comprehensive infrastructure database of equipment and acquisition sources.</w:t>
      </w:r>
    </w:p>
    <w:p w14:paraId="26C137E7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Documented over thirty business processes and translated in to process workflows. Assisted in writing Standard Operating Procedures.</w:t>
      </w:r>
    </w:p>
    <w:p w14:paraId="5D8A536F" w14:textId="77777777" w:rsidR="004B0F47" w:rsidRDefault="004B0F47">
      <w:pPr>
        <w:tabs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EAFC435" w14:textId="77777777" w:rsidR="004B0F47" w:rsidRDefault="00000000">
      <w:pPr>
        <w:tabs>
          <w:tab w:val="left" w:pos="6480"/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ADT</w:t>
      </w:r>
      <w:r>
        <w:rPr>
          <w:rFonts w:ascii="Arial" w:eastAsia="Arial" w:hAnsi="Arial" w:cs="Arial"/>
          <w:sz w:val="22"/>
          <w:szCs w:val="22"/>
        </w:rPr>
        <w:t xml:space="preserve"> (via Vitaver)</w:t>
      </w:r>
      <w:r>
        <w:rPr>
          <w:rFonts w:ascii="Arial" w:eastAsia="Arial" w:hAnsi="Arial" w:cs="Arial"/>
          <w:b/>
          <w:sz w:val="22"/>
          <w:szCs w:val="22"/>
        </w:rPr>
        <w:tab/>
        <w:t>April 2019 to July 2019</w:t>
      </w:r>
    </w:p>
    <w:p w14:paraId="5806FAE5" w14:textId="77777777" w:rsidR="004B0F47" w:rsidRDefault="00000000">
      <w:pPr>
        <w:tabs>
          <w:tab w:val="left" w:pos="720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IT Project Coordinator/Manager, Integration Management Office</w:t>
      </w:r>
    </w:p>
    <w:p w14:paraId="1ED414A3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Program governance and monitoring for large-scale Mergers &amp; Acquisition integration comprised of fourteen IT workstreams, and over thirty projects.</w:t>
      </w:r>
    </w:p>
    <w:p w14:paraId="492864D7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Administered and standardized status reporting.  Reviewed and analyzed submittals.  Prepared IMO, PMO and ELT reports.  Identified, tracked and escalated issues, risks and action items.</w:t>
      </w:r>
    </w:p>
    <w:p w14:paraId="2DB16BB7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Led program status and solution design meetings.  Created and distributed meeting decks.</w:t>
      </w:r>
    </w:p>
    <w:p w14:paraId="2EB368F1" w14:textId="79F2A822" w:rsidR="004B0F47" w:rsidRPr="00BC25CA" w:rsidRDefault="00000000" w:rsidP="00BC25CA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Consulted with leadership, and program and project managers, on resource allocations, project financials and PPM tool.</w:t>
      </w:r>
    </w:p>
    <w:p w14:paraId="33CDAEAF" w14:textId="77777777" w:rsidR="004B0F47" w:rsidRDefault="004B0F47">
      <w:pPr>
        <w:tabs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74B32DD6" w14:textId="77777777" w:rsidR="004B0F47" w:rsidRDefault="00000000">
      <w:pPr>
        <w:tabs>
          <w:tab w:val="left" w:pos="6480"/>
          <w:tab w:val="left" w:pos="720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Broward County Government</w:t>
      </w:r>
      <w:r>
        <w:rPr>
          <w:rFonts w:ascii="Arial" w:eastAsia="Arial" w:hAnsi="Arial" w:cs="Arial"/>
          <w:b/>
          <w:sz w:val="22"/>
          <w:szCs w:val="22"/>
        </w:rPr>
        <w:tab/>
        <w:t>January 2015 to April 2019</w:t>
      </w:r>
    </w:p>
    <w:p w14:paraId="18F268C6" w14:textId="77777777" w:rsidR="004B0F47" w:rsidRDefault="00000000">
      <w:pPr>
        <w:tabs>
          <w:tab w:val="left" w:pos="720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Program/Project Coordinator, Enterprise Resource Planning Project Management Office</w:t>
      </w:r>
    </w:p>
    <w:p w14:paraId="26AA3B7D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Project team member on Enterprise Resource Planning PMO team supporting implementations, system upgrades and production support for Oracle Business Analytics and PeopleSoft FSCM &amp; HCM. </w:t>
      </w:r>
    </w:p>
    <w:p w14:paraId="6BB8EFCB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Managed $66 million implementation budget.  Maintained salary forecasts and TCO. </w:t>
      </w:r>
    </w:p>
    <w:p w14:paraId="30D4203B" w14:textId="77777777" w:rsidR="004B0F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Administered vendor contracts, MSA, SLA and work authorizations.  Analyzed and reconciled expenses.  Monitored burn-rates and forecasted budgets for implementation, hosting and infrastructure services.</w:t>
      </w:r>
    </w:p>
    <w:p w14:paraId="54E5370C" w14:textId="77777777" w:rsidR="004B0F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Built and maintained hosting storage dashboard.  Analyzed trends and forecasted cost impact.  Participated in process improvement project that reduced financial impact of document storage.</w:t>
      </w:r>
    </w:p>
    <w:p w14:paraId="787DA95D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Reviewed, analyzed and reconciled system data, business processes, project logs and deliverables.  </w:t>
      </w:r>
    </w:p>
    <w:p w14:paraId="07D7451B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Team lead on cost reduction project to migrate Oracle Business Analytics hosting in-house.  Monitored and minimized project financial impact.  Analyzed and validated data against system of record.  </w:t>
      </w:r>
    </w:p>
    <w:p w14:paraId="6882DB12" w14:textId="77777777" w:rsidR="004B0F47" w:rsidRDefault="00000000">
      <w:pPr>
        <w:numPr>
          <w:ilvl w:val="0"/>
          <w:numId w:val="2"/>
        </w:numPr>
        <w:spacing w:line="276" w:lineRule="auto"/>
        <w:ind w:left="180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Functioned as module lead for budget and general ledger modules after FSCM go-live.  Successfully led multi-million-dollar conversion clean-up activities to meet year-end close deadlines.  </w:t>
      </w:r>
    </w:p>
    <w:p w14:paraId="7F1B3F91" w14:textId="77777777" w:rsidR="004B0F47" w:rsidRDefault="004B0F47">
      <w:pPr>
        <w:tabs>
          <w:tab w:val="left" w:pos="720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4B0F47">
      <w:headerReference w:type="default" r:id="rId8"/>
      <w:footerReference w:type="default" r:id="rId9"/>
      <w:pgSz w:w="12240" w:h="15840"/>
      <w:pgMar w:top="720" w:right="864" w:bottom="720" w:left="8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A5C1" w14:textId="77777777" w:rsidR="00E332C8" w:rsidRDefault="00E332C8">
      <w:r>
        <w:separator/>
      </w:r>
    </w:p>
  </w:endnote>
  <w:endnote w:type="continuationSeparator" w:id="0">
    <w:p w14:paraId="0A97FCC0" w14:textId="77777777" w:rsidR="00E332C8" w:rsidRDefault="00E3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ntessential">
    <w:charset w:val="00"/>
    <w:family w:val="auto"/>
    <w:pitch w:val="default"/>
  </w:font>
  <w:font w:name="Balthazar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F366" w14:textId="77777777" w:rsidR="004B0F47" w:rsidRDefault="004B0F47">
    <w:pPr>
      <w:tabs>
        <w:tab w:val="center" w:pos="4320"/>
        <w:tab w:val="right" w:pos="8640"/>
      </w:tabs>
      <w:jc w:val="right"/>
    </w:pPr>
  </w:p>
  <w:p w14:paraId="57275F67" w14:textId="77777777" w:rsidR="004B0F47" w:rsidRDefault="004B0F47">
    <w:pPr>
      <w:tabs>
        <w:tab w:val="center" w:pos="4320"/>
        <w:tab w:val="right" w:pos="8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129F" w14:textId="77777777" w:rsidR="00E332C8" w:rsidRDefault="00E332C8">
      <w:r>
        <w:separator/>
      </w:r>
    </w:p>
  </w:footnote>
  <w:footnote w:type="continuationSeparator" w:id="0">
    <w:p w14:paraId="4EFBCAF2" w14:textId="77777777" w:rsidR="00E332C8" w:rsidRDefault="00E3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8D0" w14:textId="77777777" w:rsidR="004B0F47" w:rsidRDefault="00000000">
    <w:pPr>
      <w:pStyle w:val="Title"/>
      <w:rPr>
        <w:rFonts w:ascii="Verdana" w:eastAsia="Verdana" w:hAnsi="Verdana" w:cs="Verdana"/>
        <w:sz w:val="28"/>
        <w:szCs w:val="28"/>
      </w:rPr>
    </w:pPr>
    <w:r>
      <w:rPr>
        <w:rFonts w:ascii="Verdana" w:eastAsia="Verdana" w:hAnsi="Verdana" w:cs="Verdana"/>
        <w:sz w:val="28"/>
        <w:szCs w:val="28"/>
      </w:rPr>
      <w:t>Jo-Ellen N. Webster</w:t>
    </w:r>
  </w:p>
  <w:p w14:paraId="0EDE4744" w14:textId="77777777" w:rsidR="004B0F47" w:rsidRDefault="004B0F47">
    <w:pPr>
      <w:pStyle w:val="Title"/>
      <w:rPr>
        <w:rFonts w:ascii="Verdana" w:eastAsia="Verdana" w:hAnsi="Verdana" w:cs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188"/>
    <w:multiLevelType w:val="multilevel"/>
    <w:tmpl w:val="03FE9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A6284C"/>
    <w:multiLevelType w:val="multilevel"/>
    <w:tmpl w:val="2794A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A7C97"/>
    <w:multiLevelType w:val="multilevel"/>
    <w:tmpl w:val="EC18E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B55182"/>
    <w:multiLevelType w:val="multilevel"/>
    <w:tmpl w:val="6750F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37535E"/>
    <w:multiLevelType w:val="multilevel"/>
    <w:tmpl w:val="2222BC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AC61EC"/>
    <w:multiLevelType w:val="multilevel"/>
    <w:tmpl w:val="B608D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3065C9"/>
    <w:multiLevelType w:val="multilevel"/>
    <w:tmpl w:val="4F002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527376"/>
    <w:multiLevelType w:val="hybridMultilevel"/>
    <w:tmpl w:val="A7D2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30884">
    <w:abstractNumId w:val="4"/>
  </w:num>
  <w:num w:numId="2" w16cid:durableId="1326586461">
    <w:abstractNumId w:val="6"/>
  </w:num>
  <w:num w:numId="3" w16cid:durableId="627053071">
    <w:abstractNumId w:val="0"/>
  </w:num>
  <w:num w:numId="4" w16cid:durableId="388768428">
    <w:abstractNumId w:val="3"/>
  </w:num>
  <w:num w:numId="5" w16cid:durableId="254018797">
    <w:abstractNumId w:val="1"/>
  </w:num>
  <w:num w:numId="6" w16cid:durableId="1061757775">
    <w:abstractNumId w:val="2"/>
  </w:num>
  <w:num w:numId="7" w16cid:durableId="1707094718">
    <w:abstractNumId w:val="5"/>
  </w:num>
  <w:num w:numId="8" w16cid:durableId="1466703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47"/>
    <w:rsid w:val="000017BF"/>
    <w:rsid w:val="0002681D"/>
    <w:rsid w:val="00064AE2"/>
    <w:rsid w:val="000D1FD0"/>
    <w:rsid w:val="000E718E"/>
    <w:rsid w:val="00112EEF"/>
    <w:rsid w:val="0014554C"/>
    <w:rsid w:val="001B6440"/>
    <w:rsid w:val="002110C9"/>
    <w:rsid w:val="00222196"/>
    <w:rsid w:val="002B38A9"/>
    <w:rsid w:val="002F01C5"/>
    <w:rsid w:val="0039014D"/>
    <w:rsid w:val="004B0F47"/>
    <w:rsid w:val="004D111C"/>
    <w:rsid w:val="00503120"/>
    <w:rsid w:val="0053590E"/>
    <w:rsid w:val="005A2D80"/>
    <w:rsid w:val="005A75B1"/>
    <w:rsid w:val="005D79B7"/>
    <w:rsid w:val="005F07A4"/>
    <w:rsid w:val="00632423"/>
    <w:rsid w:val="00695A53"/>
    <w:rsid w:val="006B07FB"/>
    <w:rsid w:val="006D28E1"/>
    <w:rsid w:val="00743FB0"/>
    <w:rsid w:val="00877BD3"/>
    <w:rsid w:val="008C35B7"/>
    <w:rsid w:val="008E173A"/>
    <w:rsid w:val="00920292"/>
    <w:rsid w:val="009246ED"/>
    <w:rsid w:val="00975B78"/>
    <w:rsid w:val="009E339F"/>
    <w:rsid w:val="00A53A27"/>
    <w:rsid w:val="00A670BE"/>
    <w:rsid w:val="00A71ED1"/>
    <w:rsid w:val="00AB79FD"/>
    <w:rsid w:val="00AF7EB2"/>
    <w:rsid w:val="00B97D2E"/>
    <w:rsid w:val="00BB518B"/>
    <w:rsid w:val="00BC25CA"/>
    <w:rsid w:val="00BF7B14"/>
    <w:rsid w:val="00C21944"/>
    <w:rsid w:val="00C3054B"/>
    <w:rsid w:val="00C311CA"/>
    <w:rsid w:val="00C830E5"/>
    <w:rsid w:val="00CD0188"/>
    <w:rsid w:val="00D7645D"/>
    <w:rsid w:val="00DB31D0"/>
    <w:rsid w:val="00DD55A4"/>
    <w:rsid w:val="00DE4481"/>
    <w:rsid w:val="00E332C8"/>
    <w:rsid w:val="00E85177"/>
    <w:rsid w:val="00EC4D1D"/>
    <w:rsid w:val="00EE0F29"/>
    <w:rsid w:val="00F00BC3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CB5A"/>
  <w15:docId w15:val="{825651BD-86E0-4835-8958-0CA1589A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7920"/>
      </w:tabs>
      <w:ind w:left="360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920"/>
      </w:tabs>
      <w:ind w:left="360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Quintessential" w:eastAsia="Quintessential" w:hAnsi="Quintessential" w:cs="Quintessential"/>
      <w:b/>
      <w:sz w:val="36"/>
      <w:szCs w:val="3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Quintessential" w:eastAsia="Quintessential" w:hAnsi="Quintessential" w:cs="Quintessent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widowControl w:val="0"/>
      <w:jc w:val="center"/>
    </w:pPr>
    <w:rPr>
      <w:rFonts w:ascii="Balthazar" w:eastAsia="Balthazar" w:hAnsi="Balthazar" w:cs="Balthazar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Jo-Ellen Webster</dc:creator>
  <cp:lastModifiedBy>Jo-Ellen Webster</cp:lastModifiedBy>
  <cp:revision>2</cp:revision>
  <dcterms:created xsi:type="dcterms:W3CDTF">2026-01-02T18:37:00Z</dcterms:created>
  <dcterms:modified xsi:type="dcterms:W3CDTF">2026-01-02T18:37:00Z</dcterms:modified>
</cp:coreProperties>
</file>