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F9" w:rsidRDefault="00C11D25">
      <w:pPr>
        <w:spacing w:after="40" w:line="259" w:lineRule="auto"/>
        <w:ind w:left="369" w:firstLine="0"/>
        <w:jc w:val="center"/>
      </w:pPr>
      <w:r>
        <w:rPr>
          <w:rFonts w:ascii="Times New Roman" w:eastAsia="Times New Roman" w:hAnsi="Times New Roman" w:cs="Times New Roman"/>
          <w:b/>
          <w:sz w:val="22"/>
        </w:rPr>
        <w:t>A</w:t>
      </w:r>
      <w:r>
        <w:rPr>
          <w:rFonts w:ascii="Times New Roman" w:eastAsia="Times New Roman" w:hAnsi="Times New Roman" w:cs="Times New Roman"/>
          <w:b/>
          <w:sz w:val="18"/>
        </w:rPr>
        <w:t xml:space="preserve">TMESH </w:t>
      </w:r>
      <w:r>
        <w:rPr>
          <w:rFonts w:ascii="Times New Roman" w:eastAsia="Times New Roman" w:hAnsi="Times New Roman" w:cs="Times New Roman"/>
          <w:b/>
          <w:sz w:val="22"/>
        </w:rPr>
        <w:t>T</w:t>
      </w:r>
      <w:r>
        <w:rPr>
          <w:rFonts w:ascii="Times New Roman" w:eastAsia="Times New Roman" w:hAnsi="Times New Roman" w:cs="Times New Roman"/>
          <w:b/>
          <w:sz w:val="18"/>
        </w:rPr>
        <w:t>IWARI</w:t>
      </w:r>
      <w:r>
        <w:rPr>
          <w:rFonts w:ascii="Times New Roman" w:eastAsia="Times New Roman" w:hAnsi="Times New Roman" w:cs="Times New Roman"/>
          <w:b/>
          <w:sz w:val="22"/>
        </w:rPr>
        <w:t xml:space="preserve"> </w:t>
      </w:r>
    </w:p>
    <w:p w:rsidR="00C23FF9" w:rsidRDefault="00C11D25">
      <w:pPr>
        <w:pStyle w:val="Heading1"/>
      </w:pPr>
      <w:r>
        <w:t xml:space="preserve">BUSINESS ANALYST </w:t>
      </w:r>
    </w:p>
    <w:p w:rsidR="00C23FF9" w:rsidRDefault="00C11D25">
      <w:pPr>
        <w:spacing w:after="31" w:line="259" w:lineRule="auto"/>
        <w:ind w:left="371" w:firstLine="0"/>
        <w:jc w:val="center"/>
      </w:pPr>
      <w:r>
        <w:rPr>
          <w:rFonts w:ascii="Times New Roman" w:eastAsia="Times New Roman" w:hAnsi="Times New Roman" w:cs="Times New Roman"/>
          <w:sz w:val="22"/>
        </w:rPr>
        <w:t xml:space="preserve">CA | +1 8045990828| </w:t>
      </w:r>
      <w:r>
        <w:rPr>
          <w:rFonts w:ascii="Times New Roman" w:eastAsia="Times New Roman" w:hAnsi="Times New Roman" w:cs="Times New Roman"/>
          <w:color w:val="0000FF"/>
          <w:sz w:val="22"/>
        </w:rPr>
        <w:t xml:space="preserve">atm.tiwari29@gmail.com </w:t>
      </w:r>
      <w:r>
        <w:rPr>
          <w:rFonts w:ascii="Times New Roman" w:eastAsia="Times New Roman" w:hAnsi="Times New Roman" w:cs="Times New Roman"/>
          <w:sz w:val="22"/>
        </w:rPr>
        <w:t>|</w:t>
      </w:r>
      <w:hyperlink r:id="rId5">
        <w:r>
          <w:rPr>
            <w:rFonts w:ascii="Times New Roman" w:eastAsia="Times New Roman" w:hAnsi="Times New Roman" w:cs="Times New Roman"/>
            <w:sz w:val="22"/>
          </w:rPr>
          <w:t xml:space="preserve"> </w:t>
        </w:r>
      </w:hyperlink>
      <w:hyperlink r:id="rId6">
        <w:proofErr w:type="spellStart"/>
        <w:r>
          <w:rPr>
            <w:rFonts w:ascii="Times New Roman" w:eastAsia="Times New Roman" w:hAnsi="Times New Roman" w:cs="Times New Roman"/>
            <w:color w:val="0000FF"/>
            <w:sz w:val="22"/>
          </w:rPr>
          <w:t>Linkedin</w:t>
        </w:r>
        <w:proofErr w:type="spellEnd"/>
      </w:hyperlink>
      <w:hyperlink r:id="rId7">
        <w:r>
          <w:rPr>
            <w:rFonts w:ascii="Times New Roman" w:eastAsia="Times New Roman" w:hAnsi="Times New Roman" w:cs="Times New Roman"/>
            <w:sz w:val="22"/>
          </w:rPr>
          <w:t xml:space="preserve"> </w:t>
        </w:r>
      </w:hyperlink>
    </w:p>
    <w:p w:rsidR="00C23FF9" w:rsidRDefault="00C11D25">
      <w:pPr>
        <w:spacing w:after="0" w:line="259" w:lineRule="auto"/>
        <w:ind w:left="0" w:firstLine="0"/>
      </w:pPr>
      <w:r>
        <w:t xml:space="preserve"> </w:t>
      </w:r>
    </w:p>
    <w:p w:rsidR="00C23FF9" w:rsidRDefault="00C11D25">
      <w:pPr>
        <w:pStyle w:val="Heading2"/>
        <w:spacing w:after="0"/>
        <w:ind w:left="381" w:right="8"/>
        <w:jc w:val="center"/>
      </w:pPr>
      <w:r>
        <w:t xml:space="preserve">SUMMARY </w:t>
      </w:r>
    </w:p>
    <w:p w:rsidR="00C23FF9" w:rsidRDefault="00C11D25">
      <w:pPr>
        <w:spacing w:after="31" w:line="259" w:lineRule="auto"/>
        <w:ind w:left="330" w:right="-31" w:firstLine="0"/>
      </w:pPr>
      <w:r>
        <w:rPr>
          <w:rFonts w:ascii="Calibri" w:eastAsia="Calibri" w:hAnsi="Calibri" w:cs="Calibri"/>
          <w:noProof/>
          <w:sz w:val="22"/>
        </w:rPr>
        <mc:AlternateContent>
          <mc:Choice Requires="wpg">
            <w:drawing>
              <wp:inline distT="0" distB="0" distL="0" distR="0">
                <wp:extent cx="6438646" cy="6096"/>
                <wp:effectExtent l="0" t="0" r="0" b="0"/>
                <wp:docPr id="6169" name="Group 6169"/>
                <wp:cNvGraphicFramePr/>
                <a:graphic xmlns:a="http://schemas.openxmlformats.org/drawingml/2006/main">
                  <a:graphicData uri="http://schemas.microsoft.com/office/word/2010/wordprocessingGroup">
                    <wpg:wgp>
                      <wpg:cNvGrpSpPr/>
                      <wpg:grpSpPr>
                        <a:xfrm>
                          <a:off x="0" y="0"/>
                          <a:ext cx="6438646" cy="6096"/>
                          <a:chOff x="0" y="0"/>
                          <a:chExt cx="6438646" cy="6096"/>
                        </a:xfrm>
                      </wpg:grpSpPr>
                      <wps:wsp>
                        <wps:cNvPr id="7080" name="Shape 7080"/>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69" style="width:506.98pt;height:0.47998pt;mso-position-horizontal-relative:char;mso-position-vertical-relative:line" coordsize="64386,60">
                <v:shape id="Shape 7081" style="position:absolute;width:64386;height:91;left:0;top:0;" coordsize="6438646,9144" path="m0,0l6438646,0l6438646,9144l0,9144l0,0">
                  <v:stroke weight="0pt" endcap="flat" joinstyle="miter" miterlimit="10" on="false" color="#000000" opacity="0"/>
                  <v:fill on="true" color="#000000"/>
                </v:shape>
              </v:group>
            </w:pict>
          </mc:Fallback>
        </mc:AlternateContent>
      </w:r>
    </w:p>
    <w:p w:rsidR="00C23FF9" w:rsidRDefault="00C11D25">
      <w:pPr>
        <w:spacing w:after="0" w:line="238" w:lineRule="auto"/>
        <w:ind w:left="1085" w:firstLine="0"/>
        <w:jc w:val="both"/>
      </w:pPr>
      <w:r>
        <w:rPr>
          <w:sz w:val="18"/>
        </w:rPr>
        <w:t xml:space="preserve">Business Analyst with 3+ years of experience in business process optimization, financial analysis, and ERP implementation across banking, consulting, and technology sectors. Proven expertise in driving operational efficiency through data-driven strategies, automating workflows, and enhancing decision-making using Power BI, Tableau, and Oracle ERP Cloud. Skilled in Agile methodologies, stakeholder management, and financial modeling, delivering measurable business impact, including improved operational costs and forecast accuracy. Strong technical proficiency in Python, SQL, and R, with a track record of streamlining complex business processes and improving reporting accuracy. </w:t>
      </w:r>
    </w:p>
    <w:p w:rsidR="00C23FF9" w:rsidRDefault="00C11D25">
      <w:pPr>
        <w:spacing w:after="0" w:line="259" w:lineRule="auto"/>
        <w:ind w:left="1085" w:firstLine="0"/>
      </w:pPr>
      <w:r>
        <w:rPr>
          <w:sz w:val="18"/>
        </w:rPr>
        <w:t xml:space="preserve"> </w:t>
      </w:r>
    </w:p>
    <w:p w:rsidR="00C23FF9" w:rsidRDefault="00C11D25">
      <w:pPr>
        <w:pStyle w:val="Heading2"/>
        <w:spacing w:after="0"/>
        <w:ind w:left="381" w:right="6"/>
        <w:jc w:val="center"/>
      </w:pPr>
      <w:r>
        <w:t xml:space="preserve">PROFESSIONAL EXPERIENCE </w:t>
      </w:r>
    </w:p>
    <w:p w:rsidR="00C23FF9" w:rsidRDefault="00C11D25">
      <w:pPr>
        <w:spacing w:after="29" w:line="259" w:lineRule="auto"/>
        <w:ind w:left="330" w:right="-31" w:firstLine="0"/>
      </w:pPr>
      <w:r>
        <w:rPr>
          <w:rFonts w:ascii="Calibri" w:eastAsia="Calibri" w:hAnsi="Calibri" w:cs="Calibri"/>
          <w:noProof/>
          <w:sz w:val="22"/>
        </w:rPr>
        <mc:AlternateContent>
          <mc:Choice Requires="wpg">
            <w:drawing>
              <wp:inline distT="0" distB="0" distL="0" distR="0">
                <wp:extent cx="6438646" cy="6096"/>
                <wp:effectExtent l="0" t="0" r="0" b="0"/>
                <wp:docPr id="6170" name="Group 6170"/>
                <wp:cNvGraphicFramePr/>
                <a:graphic xmlns:a="http://schemas.openxmlformats.org/drawingml/2006/main">
                  <a:graphicData uri="http://schemas.microsoft.com/office/word/2010/wordprocessingGroup">
                    <wpg:wgp>
                      <wpg:cNvGrpSpPr/>
                      <wpg:grpSpPr>
                        <a:xfrm>
                          <a:off x="0" y="0"/>
                          <a:ext cx="6438646" cy="6096"/>
                          <a:chOff x="0" y="0"/>
                          <a:chExt cx="6438646" cy="6096"/>
                        </a:xfrm>
                      </wpg:grpSpPr>
                      <wps:wsp>
                        <wps:cNvPr id="7082" name="Shape 7082"/>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70" style="width:506.98pt;height:0.47998pt;mso-position-horizontal-relative:char;mso-position-vertical-relative:line" coordsize="64386,60">
                <v:shape id="Shape 7083" style="position:absolute;width:64386;height:91;left:0;top:0;" coordsize="6438646,9144" path="m0,0l6438646,0l6438646,9144l0,9144l0,0">
                  <v:stroke weight="0pt" endcap="flat" joinstyle="miter" miterlimit="10" on="false" color="#000000" opacity="0"/>
                  <v:fill on="true" color="#000000"/>
                </v:shape>
              </v:group>
            </w:pict>
          </mc:Fallback>
        </mc:AlternateContent>
      </w:r>
    </w:p>
    <w:p w:rsidR="00C23FF9" w:rsidRDefault="00C11D25">
      <w:pPr>
        <w:tabs>
          <w:tab w:val="center" w:pos="1086"/>
          <w:tab w:val="center" w:pos="9425"/>
        </w:tabs>
        <w:spacing w:after="32"/>
        <w:ind w:left="0" w:firstLine="0"/>
      </w:pPr>
      <w:r>
        <w:rPr>
          <w:rFonts w:ascii="Calibri" w:eastAsia="Calibri" w:hAnsi="Calibri" w:cs="Calibri"/>
          <w:sz w:val="22"/>
        </w:rPr>
        <w:tab/>
      </w:r>
      <w:r>
        <w:t xml:space="preserve">JPMorgan Chase, CA </w:t>
      </w:r>
      <w:r>
        <w:tab/>
        <w:t xml:space="preserve">Feb 2025 – Current </w:t>
      </w:r>
    </w:p>
    <w:p w:rsidR="00C23FF9" w:rsidRDefault="00C11D25">
      <w:pPr>
        <w:pStyle w:val="Heading2"/>
        <w:ind w:left="360"/>
      </w:pPr>
      <w:r>
        <w:t xml:space="preserve">Business Analyst </w:t>
      </w:r>
    </w:p>
    <w:p w:rsidR="00C23FF9" w:rsidRDefault="00C11D25">
      <w:pPr>
        <w:numPr>
          <w:ilvl w:val="0"/>
          <w:numId w:val="1"/>
        </w:numPr>
        <w:ind w:right="1" w:hanging="355"/>
      </w:pPr>
      <w:r>
        <w:t xml:space="preserve">Spearhead business model optimization initiatives using Agile methodologies, collaborating with 10+ cross-functional teams to map processes, automate workflows, and eliminate redundancies, driving 22% operational cost reduction ($1.2M annual savings). </w:t>
      </w:r>
    </w:p>
    <w:p w:rsidR="00C23FF9" w:rsidRDefault="00C11D25">
      <w:pPr>
        <w:numPr>
          <w:ilvl w:val="0"/>
          <w:numId w:val="1"/>
        </w:numPr>
        <w:ind w:right="1" w:hanging="355"/>
      </w:pPr>
      <w:r>
        <w:t xml:space="preserve">Orchestrate Oracle ERP Cloud (AP/AR) implementations by defining business requirements, managing vendor partnerships, and aligning technical builds with stakeholder needs, reducing manual reporting errors by 30% and accelerating month-end close by 5 days. </w:t>
      </w:r>
    </w:p>
    <w:p w:rsidR="00C23FF9" w:rsidRDefault="00C11D25">
      <w:pPr>
        <w:numPr>
          <w:ilvl w:val="0"/>
          <w:numId w:val="1"/>
        </w:numPr>
        <w:ind w:right="1" w:hanging="355"/>
      </w:pPr>
      <w:r>
        <w:t xml:space="preserve">Lead user acceptance testing (UAT) for system enhancements, designing 50+ test cases and resolving 15+ defects pre-launch to reduce post-deployment issues by 30%, ensuring on-time delivery through risk-mitigation planning. </w:t>
      </w:r>
    </w:p>
    <w:p w:rsidR="00C23FF9" w:rsidRDefault="00C11D25">
      <w:pPr>
        <w:numPr>
          <w:ilvl w:val="0"/>
          <w:numId w:val="1"/>
        </w:numPr>
        <w:ind w:right="1" w:hanging="355"/>
      </w:pPr>
      <w:r>
        <w:t xml:space="preserve">Collaborate with CFO/COO stakeholders to define KPIs and design Power BI dashboards tracking liquidity risk, improving fiscal forecast accuracy by 25% and enabling data-driven strategic decisions. </w:t>
      </w:r>
    </w:p>
    <w:p w:rsidR="00C23FF9" w:rsidRDefault="00C11D25">
      <w:pPr>
        <w:numPr>
          <w:ilvl w:val="0"/>
          <w:numId w:val="1"/>
        </w:numPr>
        <w:ind w:right="1" w:hanging="355"/>
      </w:pPr>
      <w:r>
        <w:t xml:space="preserve">Conduct market risk analysis using Monte Carlo simulations and SWOT frameworks, translating insights into actionable strategies that increase portfolio ROI by 9% for a $50M investment fund. </w:t>
      </w:r>
    </w:p>
    <w:p w:rsidR="00C23FF9" w:rsidRDefault="00C11D25">
      <w:pPr>
        <w:numPr>
          <w:ilvl w:val="0"/>
          <w:numId w:val="1"/>
        </w:numPr>
        <w:spacing w:after="151"/>
        <w:ind w:right="1" w:hanging="355"/>
      </w:pPr>
      <w:r>
        <w:t xml:space="preserve">Streamline SOX compliance processes by documenting controls, training 50+ end-users, and automating audit workflows, </w:t>
      </w:r>
      <w:proofErr w:type="gramStart"/>
      <w:r>
        <w:t>reducing</w:t>
      </w:r>
      <w:proofErr w:type="gramEnd"/>
      <w:r>
        <w:t xml:space="preserve"> compliance findings by 40% and aligning systems with regulatory standards. </w:t>
      </w:r>
    </w:p>
    <w:p w:rsidR="00C23FF9" w:rsidRDefault="00C11D25">
      <w:pPr>
        <w:tabs>
          <w:tab w:val="center" w:pos="1377"/>
          <w:tab w:val="center" w:pos="9317"/>
        </w:tabs>
        <w:spacing w:after="39"/>
        <w:ind w:left="0" w:firstLine="0"/>
      </w:pPr>
      <w:r>
        <w:rPr>
          <w:rFonts w:ascii="Calibri" w:eastAsia="Calibri" w:hAnsi="Calibri" w:cs="Calibri"/>
          <w:sz w:val="22"/>
        </w:rPr>
        <w:tab/>
      </w:r>
      <w:r>
        <w:t xml:space="preserve">San Jose State University, CA </w:t>
      </w:r>
      <w:r>
        <w:tab/>
        <w:t xml:space="preserve">Mar 2024 – Feb 2025 </w:t>
      </w:r>
    </w:p>
    <w:p w:rsidR="00C23FF9" w:rsidRDefault="00C11D25">
      <w:pPr>
        <w:pStyle w:val="Heading2"/>
        <w:ind w:left="360"/>
      </w:pPr>
      <w:r>
        <w:t xml:space="preserve">Research Assistant </w:t>
      </w:r>
    </w:p>
    <w:p w:rsidR="00C23FF9" w:rsidRDefault="00C11D25">
      <w:pPr>
        <w:numPr>
          <w:ilvl w:val="0"/>
          <w:numId w:val="2"/>
        </w:numPr>
        <w:ind w:right="1" w:hanging="355"/>
      </w:pPr>
      <w:r>
        <w:t xml:space="preserve">Spearheaded end-to-end project management for AI-driven product development research, defining milestones, allocating resources, and delivering a 120-page analytical report on AI’s impact on innovation processes, adopted by 3 Fortune 500 firms as a strategic reference. </w:t>
      </w:r>
    </w:p>
    <w:p w:rsidR="00C23FF9" w:rsidRDefault="00C11D25">
      <w:pPr>
        <w:numPr>
          <w:ilvl w:val="0"/>
          <w:numId w:val="2"/>
        </w:numPr>
        <w:ind w:right="1" w:hanging="355"/>
      </w:pPr>
      <w:r>
        <w:t>Boosted operational efficiency in product development by 40% through process redesign, leveraging tools like Zeda.IO (</w:t>
      </w:r>
      <w:proofErr w:type="spellStart"/>
      <w:r>
        <w:t>roadmapping</w:t>
      </w:r>
      <w:proofErr w:type="spellEnd"/>
      <w:r>
        <w:t xml:space="preserve">) and </w:t>
      </w:r>
      <w:proofErr w:type="spellStart"/>
      <w:r>
        <w:t>Mixpanel</w:t>
      </w:r>
      <w:proofErr w:type="spellEnd"/>
      <w:r>
        <w:t xml:space="preserve"> (analytics) to automate workflows and reduce time-to-market by 25%. </w:t>
      </w:r>
    </w:p>
    <w:p w:rsidR="00C23FF9" w:rsidRDefault="00C11D25">
      <w:pPr>
        <w:numPr>
          <w:ilvl w:val="0"/>
          <w:numId w:val="2"/>
        </w:numPr>
        <w:spacing w:line="250" w:lineRule="auto"/>
        <w:ind w:right="1" w:hanging="355"/>
      </w:pPr>
      <w:r>
        <w:t xml:space="preserve">Collaborated with 15+ cross-functional academic and industry teams to analyze 50+ product development case studies and 200+ survey responses, identifying 5 key AI adoption trends (e.g., predictive prototyping) that informed $2M+ R&amp;D investments. </w:t>
      </w:r>
    </w:p>
    <w:p w:rsidR="00C23FF9" w:rsidRDefault="00C11D25">
      <w:pPr>
        <w:numPr>
          <w:ilvl w:val="0"/>
          <w:numId w:val="2"/>
        </w:numPr>
        <w:spacing w:after="201"/>
        <w:ind w:right="1" w:hanging="355"/>
      </w:pPr>
      <w:r>
        <w:t xml:space="preserve">Authored and published a peer-reviewed paper on AI’s role in product lifecycle management, securing PICMET’24 approval and earning 1,200+ downloads within 3 months, bridging academic research with industry practices. </w:t>
      </w:r>
    </w:p>
    <w:p w:rsidR="00C23FF9" w:rsidRDefault="00C11D25">
      <w:pPr>
        <w:tabs>
          <w:tab w:val="center" w:pos="806"/>
          <w:tab w:val="center" w:pos="9331"/>
        </w:tabs>
        <w:spacing w:after="34"/>
        <w:ind w:left="0" w:firstLine="0"/>
      </w:pPr>
      <w:r>
        <w:rPr>
          <w:rFonts w:ascii="Calibri" w:eastAsia="Calibri" w:hAnsi="Calibri" w:cs="Calibri"/>
          <w:sz w:val="22"/>
        </w:rPr>
        <w:tab/>
      </w:r>
      <w:r>
        <w:t xml:space="preserve">KPMG, India </w:t>
      </w:r>
      <w:r>
        <w:tab/>
        <w:t xml:space="preserve">Feb 2021 – Dec 2021 </w:t>
      </w:r>
    </w:p>
    <w:p w:rsidR="00C23FF9" w:rsidRDefault="00C11D25">
      <w:pPr>
        <w:pStyle w:val="Heading2"/>
        <w:ind w:left="360"/>
      </w:pPr>
      <w:r>
        <w:t xml:space="preserve">Business Analyst </w:t>
      </w:r>
    </w:p>
    <w:p w:rsidR="00C23FF9" w:rsidRDefault="00C11D25">
      <w:pPr>
        <w:numPr>
          <w:ilvl w:val="0"/>
          <w:numId w:val="3"/>
        </w:numPr>
        <w:ind w:right="1" w:hanging="360"/>
      </w:pPr>
      <w:r>
        <w:t xml:space="preserve">Developed BRDs, FRDs, and RTMs for 8+ business-critical projects, aligning stakeholder requirements with technical builds and reducing scope creep by 20% through rigorous change control processes. </w:t>
      </w:r>
    </w:p>
    <w:p w:rsidR="00C23FF9" w:rsidRDefault="00C11D25">
      <w:pPr>
        <w:numPr>
          <w:ilvl w:val="0"/>
          <w:numId w:val="3"/>
        </w:numPr>
        <w:ind w:right="1" w:hanging="360"/>
      </w:pPr>
      <w:r>
        <w:t xml:space="preserve">Mitigated risks for logistics operations by conducting FMEA (Failure Mode Effects Analysis), resolving bottlenecks in 3 key supply chain workflows, and saving $50K in operational costs annually. </w:t>
      </w:r>
    </w:p>
    <w:p w:rsidR="00C23FF9" w:rsidRDefault="00C11D25">
      <w:pPr>
        <w:numPr>
          <w:ilvl w:val="0"/>
          <w:numId w:val="3"/>
        </w:numPr>
        <w:ind w:right="1" w:hanging="360"/>
      </w:pPr>
      <w:r>
        <w:t xml:space="preserve">Optimized Salesforce CRM workflows for a retail client, automating lead assignment rules and email campaigns, which boosted lead conversion rates by 25% and reduced manual effort by 15 hours/week. </w:t>
      </w:r>
    </w:p>
    <w:p w:rsidR="00C23FF9" w:rsidRDefault="00C11D25">
      <w:pPr>
        <w:numPr>
          <w:ilvl w:val="0"/>
          <w:numId w:val="3"/>
        </w:numPr>
        <w:ind w:right="1" w:hanging="360"/>
      </w:pPr>
      <w:r>
        <w:t xml:space="preserve">Analyzed financial datasets using advanced Excel (PivotTables, VLOOKUP, Macros), identifying cost-saving opportunities that accelerated strategic decision-making by 40% and improved budget accuracy by 18%. </w:t>
      </w:r>
    </w:p>
    <w:p w:rsidR="00C23FF9" w:rsidRDefault="00C11D25">
      <w:pPr>
        <w:numPr>
          <w:ilvl w:val="0"/>
          <w:numId w:val="3"/>
        </w:numPr>
        <w:ind w:right="1" w:hanging="360"/>
      </w:pPr>
      <w:r>
        <w:t xml:space="preserve">Documented SRS and 30+ use cases for AI-driven product development research, standardizing methodologies to increase replication success rates by 35% across 5 teams. </w:t>
      </w:r>
    </w:p>
    <w:p w:rsidR="00C23FF9" w:rsidRDefault="00C11D25">
      <w:pPr>
        <w:numPr>
          <w:ilvl w:val="0"/>
          <w:numId w:val="3"/>
        </w:numPr>
        <w:ind w:right="1" w:hanging="360"/>
      </w:pPr>
      <w:r>
        <w:t xml:space="preserve">Led seamless data migration for financial systems (SAP to Oracle), collaborating with IT teams to validate 10K+ records, ensuring zero downtime and 100% data integrity post-transition. </w:t>
      </w:r>
    </w:p>
    <w:p w:rsidR="00C23FF9" w:rsidRDefault="00C11D25">
      <w:pPr>
        <w:numPr>
          <w:ilvl w:val="0"/>
          <w:numId w:val="3"/>
        </w:numPr>
        <w:ind w:right="1" w:hanging="360"/>
      </w:pPr>
      <w:r>
        <w:t xml:space="preserve">Conducted stakeholder workshops to map process pain points and define user stories, reducing misalignment in project scope by 30% and accelerating requirement sign-offs by 2 weeks. </w:t>
      </w:r>
    </w:p>
    <w:p w:rsidR="00C23FF9" w:rsidRDefault="00C11D25">
      <w:pPr>
        <w:numPr>
          <w:ilvl w:val="0"/>
          <w:numId w:val="3"/>
        </w:numPr>
        <w:spacing w:after="156"/>
        <w:ind w:right="1" w:hanging="360"/>
      </w:pPr>
      <w:r>
        <w:lastRenderedPageBreak/>
        <w:t xml:space="preserve">Designed interactive KPI dashboards (Power BI) to monitor project health metrics (budget burn, timelines), enabling proactive adjustments that improved on-time delivery rates by 20%. </w:t>
      </w:r>
    </w:p>
    <w:p w:rsidR="00C23FF9" w:rsidRDefault="00C11D25">
      <w:pPr>
        <w:tabs>
          <w:tab w:val="center" w:pos="797"/>
          <w:tab w:val="center" w:pos="9331"/>
        </w:tabs>
        <w:spacing w:after="34"/>
        <w:ind w:left="0" w:firstLine="0"/>
      </w:pPr>
      <w:r>
        <w:rPr>
          <w:rFonts w:ascii="Calibri" w:eastAsia="Calibri" w:hAnsi="Calibri" w:cs="Calibri"/>
          <w:sz w:val="22"/>
        </w:rPr>
        <w:tab/>
      </w:r>
      <w:r>
        <w:t xml:space="preserve">Adani, India </w:t>
      </w:r>
      <w:r>
        <w:tab/>
        <w:t xml:space="preserve">Aug 2020 – Jan 2021 </w:t>
      </w:r>
    </w:p>
    <w:p w:rsidR="00C23FF9" w:rsidRDefault="00C11D25">
      <w:pPr>
        <w:pStyle w:val="Heading2"/>
        <w:ind w:left="360"/>
      </w:pPr>
      <w:r>
        <w:t xml:space="preserve">Business Analyst Intern </w:t>
      </w:r>
    </w:p>
    <w:p w:rsidR="00C23FF9" w:rsidRDefault="00C11D25">
      <w:pPr>
        <w:numPr>
          <w:ilvl w:val="0"/>
          <w:numId w:val="4"/>
        </w:numPr>
        <w:ind w:right="1" w:hanging="355"/>
      </w:pPr>
      <w:r>
        <w:t xml:space="preserve">Streamlined SAP ERP integration (MM/SD modules) for supply chain operations, automating 5 workflows to improve processing efficiency by 15% and reduce data entry errors by 25% through real-time validation. </w:t>
      </w:r>
    </w:p>
    <w:p w:rsidR="00C23FF9" w:rsidRDefault="00C11D25">
      <w:pPr>
        <w:numPr>
          <w:ilvl w:val="0"/>
          <w:numId w:val="4"/>
        </w:numPr>
        <w:ind w:right="1" w:hanging="355"/>
      </w:pPr>
      <w:r>
        <w:t xml:space="preserve">Pioneered Power BI dashboards for banking clients to track KPIs (e.g., loan approval rates, transaction volumes), cutting manual reporting time by 10 hours/week and accelerating decision-making efficiency by 40%. </w:t>
      </w:r>
    </w:p>
    <w:p w:rsidR="00C23FF9" w:rsidRDefault="00C11D25">
      <w:pPr>
        <w:numPr>
          <w:ilvl w:val="0"/>
          <w:numId w:val="4"/>
        </w:numPr>
        <w:ind w:right="1" w:hanging="355"/>
      </w:pPr>
      <w:r>
        <w:t xml:space="preserve">Performed cost-benefit analysis (NPV, IRR) for renewable energy projects, enabling executive approval of $250K in sustainable </w:t>
      </w:r>
    </w:p>
    <w:p w:rsidR="00C23FF9" w:rsidRDefault="00C11D25">
      <w:pPr>
        <w:ind w:left="1085" w:right="1" w:firstLine="0"/>
      </w:pPr>
      <w:proofErr w:type="gramStart"/>
      <w:r>
        <w:t>initiatives</w:t>
      </w:r>
      <w:proofErr w:type="gramEnd"/>
      <w:r>
        <w:t xml:space="preserve"> projected to reduce carbon emissions by 12% annually. </w:t>
      </w:r>
    </w:p>
    <w:p w:rsidR="00C23FF9" w:rsidRDefault="00C11D25">
      <w:pPr>
        <w:numPr>
          <w:ilvl w:val="0"/>
          <w:numId w:val="4"/>
        </w:numPr>
        <w:ind w:right="1" w:hanging="355"/>
      </w:pPr>
      <w:r>
        <w:t xml:space="preserve">Executed A/B testing for logistics route optimization, analyzing 500+ delivery routes with Python to achieve an 8% efficiency gain and $15K/year in fuel savings. </w:t>
      </w:r>
    </w:p>
    <w:p w:rsidR="00C23FF9" w:rsidRDefault="00C11D25">
      <w:pPr>
        <w:numPr>
          <w:ilvl w:val="0"/>
          <w:numId w:val="4"/>
        </w:numPr>
        <w:ind w:right="1" w:hanging="355"/>
      </w:pPr>
      <w:r>
        <w:t xml:space="preserve">Extracted insights from MySQL databases to identify infrastructure project delays, reducing reporting time by 20% and informing $100K in preventive maintenance investments. </w:t>
      </w:r>
    </w:p>
    <w:p w:rsidR="00C23FF9" w:rsidRDefault="00C11D25">
      <w:pPr>
        <w:numPr>
          <w:ilvl w:val="0"/>
          <w:numId w:val="4"/>
        </w:numPr>
        <w:ind w:right="1" w:hanging="355"/>
      </w:pPr>
      <w:r>
        <w:t xml:space="preserve">Collaborated with cross-functional teams to map procurement workflows using BPMN, proposing automation solutions that reduced approval cycle times by 30%. </w:t>
      </w:r>
    </w:p>
    <w:p w:rsidR="00C23FF9" w:rsidRDefault="00C11D25">
      <w:pPr>
        <w:numPr>
          <w:ilvl w:val="0"/>
          <w:numId w:val="4"/>
        </w:numPr>
        <w:ind w:right="1" w:hanging="355"/>
      </w:pPr>
      <w:r>
        <w:t xml:space="preserve">Supported UAT for CRM migration by documenting 20+ test cases and resolving 12 defects, ensuring 100% user readiness </w:t>
      </w:r>
      <w:proofErr w:type="spellStart"/>
      <w:r>
        <w:t>postlaunch</w:t>
      </w:r>
      <w:proofErr w:type="spellEnd"/>
      <w:r>
        <w:t xml:space="preserve">. </w:t>
      </w:r>
    </w:p>
    <w:p w:rsidR="00C23FF9" w:rsidRDefault="00C11D25">
      <w:pPr>
        <w:numPr>
          <w:ilvl w:val="0"/>
          <w:numId w:val="4"/>
        </w:numPr>
        <w:ind w:right="1" w:hanging="355"/>
      </w:pPr>
      <w:r>
        <w:t xml:space="preserve">Translated stakeholder feedback into user stories for a warehouse management system, aligning technical builds with business needs and reducing rework by 18%. </w:t>
      </w:r>
    </w:p>
    <w:p w:rsidR="00C23FF9" w:rsidRDefault="00C11D25">
      <w:pPr>
        <w:pStyle w:val="Heading2"/>
        <w:spacing w:after="0"/>
        <w:ind w:left="381" w:right="1"/>
        <w:jc w:val="center"/>
      </w:pPr>
      <w:r>
        <w:t xml:space="preserve">EDUCATION </w:t>
      </w:r>
    </w:p>
    <w:p w:rsidR="00C23FF9" w:rsidRDefault="00C11D25">
      <w:pPr>
        <w:spacing w:after="29" w:line="259" w:lineRule="auto"/>
        <w:ind w:left="330" w:right="-31" w:firstLine="0"/>
      </w:pPr>
      <w:r>
        <w:rPr>
          <w:rFonts w:ascii="Calibri" w:eastAsia="Calibri" w:hAnsi="Calibri" w:cs="Calibri"/>
          <w:noProof/>
          <w:sz w:val="22"/>
        </w:rPr>
        <mc:AlternateContent>
          <mc:Choice Requires="wpg">
            <w:drawing>
              <wp:inline distT="0" distB="0" distL="0" distR="0">
                <wp:extent cx="6438646" cy="6096"/>
                <wp:effectExtent l="0" t="0" r="0" b="0"/>
                <wp:docPr id="6328" name="Group 6328"/>
                <wp:cNvGraphicFramePr/>
                <a:graphic xmlns:a="http://schemas.openxmlformats.org/drawingml/2006/main">
                  <a:graphicData uri="http://schemas.microsoft.com/office/word/2010/wordprocessingGroup">
                    <wpg:wgp>
                      <wpg:cNvGrpSpPr/>
                      <wpg:grpSpPr>
                        <a:xfrm>
                          <a:off x="0" y="0"/>
                          <a:ext cx="6438646" cy="6096"/>
                          <a:chOff x="0" y="0"/>
                          <a:chExt cx="6438646" cy="6096"/>
                        </a:xfrm>
                      </wpg:grpSpPr>
                      <wps:wsp>
                        <wps:cNvPr id="7084" name="Shape 7084"/>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28" style="width:506.98pt;height:0.47998pt;mso-position-horizontal-relative:char;mso-position-vertical-relative:line" coordsize="64386,60">
                <v:shape id="Shape 7085" style="position:absolute;width:64386;height:91;left:0;top:0;" coordsize="6438646,9144" path="m0,0l6438646,0l6438646,9144l0,9144l0,0">
                  <v:stroke weight="0pt" endcap="flat" joinstyle="miter" miterlimit="10" on="false" color="#000000" opacity="0"/>
                  <v:fill on="true" color="#000000"/>
                </v:shape>
              </v:group>
            </w:pict>
          </mc:Fallback>
        </mc:AlternateContent>
      </w:r>
    </w:p>
    <w:p w:rsidR="00C23FF9" w:rsidRDefault="00C11D25">
      <w:pPr>
        <w:spacing w:after="0" w:line="259" w:lineRule="auto"/>
        <w:ind w:left="0" w:firstLine="0"/>
      </w:pPr>
      <w:r>
        <w:rPr>
          <w:b/>
        </w:rPr>
        <w:t xml:space="preserve"> </w:t>
      </w:r>
      <w:bookmarkStart w:id="0" w:name="_GoBack"/>
      <w:bookmarkEnd w:id="0"/>
    </w:p>
    <w:p w:rsidR="00C23FF9" w:rsidRDefault="00C11D25">
      <w:pPr>
        <w:tabs>
          <w:tab w:val="center" w:pos="1376"/>
          <w:tab w:val="center" w:pos="9539"/>
        </w:tabs>
        <w:spacing w:after="5"/>
        <w:ind w:left="0" w:firstLine="0"/>
      </w:pPr>
      <w:r>
        <w:rPr>
          <w:rFonts w:ascii="Calibri" w:eastAsia="Calibri" w:hAnsi="Calibri" w:cs="Calibri"/>
          <w:sz w:val="22"/>
        </w:rPr>
        <w:tab/>
      </w:r>
      <w:r>
        <w:t>San Jose State University</w:t>
      </w:r>
      <w:r>
        <w:rPr>
          <w:b/>
        </w:rPr>
        <w:t xml:space="preserve">, </w:t>
      </w:r>
      <w:r>
        <w:t xml:space="preserve">CA </w:t>
      </w:r>
      <w:r>
        <w:tab/>
        <w:t xml:space="preserve">Jan 2022 - Dec 2023 </w:t>
      </w:r>
    </w:p>
    <w:p w:rsidR="00C23FF9" w:rsidRDefault="00C11D25">
      <w:pPr>
        <w:spacing w:after="144" w:line="259" w:lineRule="auto"/>
        <w:ind w:left="360" w:hanging="10"/>
      </w:pPr>
      <w:r>
        <w:rPr>
          <w:b/>
        </w:rPr>
        <w:t xml:space="preserve">Master of Science in Engineering Management (MEM) </w:t>
      </w:r>
    </w:p>
    <w:p w:rsidR="00C23FF9" w:rsidRDefault="00C11D25">
      <w:pPr>
        <w:tabs>
          <w:tab w:val="center" w:pos="1778"/>
          <w:tab w:val="center" w:pos="9539"/>
        </w:tabs>
        <w:spacing w:after="5"/>
        <w:ind w:left="0" w:firstLine="0"/>
      </w:pPr>
      <w:r>
        <w:rPr>
          <w:rFonts w:ascii="Calibri" w:eastAsia="Calibri" w:hAnsi="Calibri" w:cs="Calibri"/>
          <w:sz w:val="22"/>
        </w:rPr>
        <w:tab/>
      </w:r>
      <w:proofErr w:type="spellStart"/>
      <w:r>
        <w:t>Inderprastha</w:t>
      </w:r>
      <w:proofErr w:type="spellEnd"/>
      <w:r>
        <w:t xml:space="preserve"> Engineering College</w:t>
      </w:r>
      <w:r>
        <w:rPr>
          <w:b/>
        </w:rPr>
        <w:t xml:space="preserve">, </w:t>
      </w:r>
      <w:r>
        <w:t xml:space="preserve">India </w:t>
      </w:r>
      <w:r>
        <w:tab/>
        <w:t xml:space="preserve">Aug 2017 - Jul 2021 </w:t>
      </w:r>
    </w:p>
    <w:p w:rsidR="00C23FF9" w:rsidRDefault="00C11D25">
      <w:pPr>
        <w:spacing w:after="0" w:line="259" w:lineRule="auto"/>
        <w:ind w:left="360" w:hanging="10"/>
      </w:pPr>
      <w:r>
        <w:rPr>
          <w:b/>
        </w:rPr>
        <w:t xml:space="preserve">Bachelor of Technology in Information Technology </w:t>
      </w:r>
    </w:p>
    <w:p w:rsidR="00C23FF9" w:rsidRDefault="00C11D25">
      <w:pPr>
        <w:spacing w:after="0" w:line="259" w:lineRule="auto"/>
        <w:ind w:left="0" w:firstLine="0"/>
      </w:pPr>
      <w:r>
        <w:rPr>
          <w:b/>
        </w:rPr>
        <w:t xml:space="preserve"> </w:t>
      </w:r>
    </w:p>
    <w:p w:rsidR="00C23FF9" w:rsidRDefault="00C11D25">
      <w:pPr>
        <w:pStyle w:val="Heading2"/>
        <w:spacing w:after="95"/>
        <w:ind w:left="381"/>
        <w:jc w:val="center"/>
      </w:pPr>
      <w:r>
        <w:t xml:space="preserve">TECHNICAL SKILLS Programming &amp; Analytics: </w:t>
      </w:r>
      <w:r>
        <w:rPr>
          <w:b w:val="0"/>
        </w:rPr>
        <w:t xml:space="preserve">Python | R | SQL </w:t>
      </w:r>
      <w:r>
        <w:t xml:space="preserve">Database Management: </w:t>
      </w:r>
      <w:r>
        <w:rPr>
          <w:b w:val="0"/>
        </w:rPr>
        <w:t xml:space="preserve">MySQL | PostgreSQL </w:t>
      </w:r>
    </w:p>
    <w:p w:rsidR="00C23FF9" w:rsidRDefault="00C11D25">
      <w:pPr>
        <w:spacing w:after="29" w:line="259" w:lineRule="auto"/>
        <w:ind w:left="330" w:right="-31" w:firstLine="0"/>
      </w:pPr>
      <w:r>
        <w:rPr>
          <w:rFonts w:ascii="Calibri" w:eastAsia="Calibri" w:hAnsi="Calibri" w:cs="Calibri"/>
          <w:noProof/>
          <w:sz w:val="22"/>
        </w:rPr>
        <mc:AlternateContent>
          <mc:Choice Requires="wpg">
            <w:drawing>
              <wp:inline distT="0" distB="0" distL="0" distR="0">
                <wp:extent cx="6438646" cy="6096"/>
                <wp:effectExtent l="0" t="0" r="0" b="0"/>
                <wp:docPr id="6329" name="Group 6329"/>
                <wp:cNvGraphicFramePr/>
                <a:graphic xmlns:a="http://schemas.openxmlformats.org/drawingml/2006/main">
                  <a:graphicData uri="http://schemas.microsoft.com/office/word/2010/wordprocessingGroup">
                    <wpg:wgp>
                      <wpg:cNvGrpSpPr/>
                      <wpg:grpSpPr>
                        <a:xfrm>
                          <a:off x="0" y="0"/>
                          <a:ext cx="6438646" cy="6096"/>
                          <a:chOff x="0" y="0"/>
                          <a:chExt cx="6438646" cy="6096"/>
                        </a:xfrm>
                      </wpg:grpSpPr>
                      <wps:wsp>
                        <wps:cNvPr id="7086" name="Shape 7086"/>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29" style="width:506.98pt;height:0.47998pt;mso-position-horizontal-relative:char;mso-position-vertical-relative:line" coordsize="64386,60">
                <v:shape id="Shape 7087" style="position:absolute;width:64386;height:91;left:0;top:0;" coordsize="6438646,9144" path="m0,0l6438646,0l6438646,9144l0,9144l0,0">
                  <v:stroke weight="0pt" endcap="flat" joinstyle="miter" miterlimit="10" on="false" color="#000000" opacity="0"/>
                  <v:fill on="true" color="#000000"/>
                </v:shape>
              </v:group>
            </w:pict>
          </mc:Fallback>
        </mc:AlternateContent>
      </w:r>
    </w:p>
    <w:p w:rsidR="00C23FF9" w:rsidRDefault="00C11D25">
      <w:pPr>
        <w:spacing w:after="86"/>
        <w:ind w:left="365" w:right="1" w:firstLine="0"/>
      </w:pPr>
      <w:r>
        <w:rPr>
          <w:b/>
        </w:rPr>
        <w:t xml:space="preserve">Documentation &amp; Reporting Tools: </w:t>
      </w:r>
      <w:r>
        <w:t xml:space="preserve">Business Requirement Document (BRD) | Functional Requirement Document (FRD) | System </w:t>
      </w:r>
    </w:p>
    <w:p w:rsidR="00C23FF9" w:rsidRDefault="00C11D25">
      <w:pPr>
        <w:spacing w:after="88"/>
        <w:ind w:left="365" w:right="1" w:firstLine="0"/>
      </w:pPr>
      <w:r>
        <w:t xml:space="preserve">Requirement Specification (SRS) | Requirements Traceability Matrix (RTM) | Use Cases | Wireframes </w:t>
      </w:r>
    </w:p>
    <w:p w:rsidR="00C23FF9" w:rsidRDefault="00C11D25">
      <w:pPr>
        <w:spacing w:after="105"/>
        <w:ind w:left="365" w:right="1" w:firstLine="0"/>
      </w:pPr>
      <w:r>
        <w:rPr>
          <w:b/>
        </w:rPr>
        <w:t xml:space="preserve">Project Management Tools: </w:t>
      </w:r>
      <w:r>
        <w:t xml:space="preserve">JIRA | Confluence | Microsoft Project </w:t>
      </w:r>
    </w:p>
    <w:p w:rsidR="00C23FF9" w:rsidRDefault="00C11D25">
      <w:pPr>
        <w:spacing w:after="100"/>
        <w:ind w:left="365" w:right="1" w:firstLine="0"/>
      </w:pPr>
      <w:r>
        <w:rPr>
          <w:b/>
        </w:rPr>
        <w:t xml:space="preserve">Analysis Skills: </w:t>
      </w:r>
      <w:r>
        <w:t xml:space="preserve">GAP Analysis | Risk Analysis | SWOT Analysis | A/B Testing | Impact Analysis | Cost-Benefit Analysis </w:t>
      </w:r>
    </w:p>
    <w:p w:rsidR="00C23FF9" w:rsidRDefault="00C11D25">
      <w:pPr>
        <w:spacing w:after="103"/>
        <w:ind w:left="365" w:right="1" w:firstLine="0"/>
      </w:pPr>
      <w:r>
        <w:rPr>
          <w:b/>
        </w:rPr>
        <w:t xml:space="preserve">Data Visualization &amp; BI Tools: </w:t>
      </w:r>
      <w:r>
        <w:t xml:space="preserve">Tableau | Power BI | Microsoft Excel </w:t>
      </w:r>
    </w:p>
    <w:p w:rsidR="00C23FF9" w:rsidRDefault="00C11D25">
      <w:pPr>
        <w:spacing w:after="64" w:line="259" w:lineRule="auto"/>
        <w:ind w:left="360" w:hanging="10"/>
      </w:pPr>
      <w:r>
        <w:rPr>
          <w:b/>
        </w:rPr>
        <w:t xml:space="preserve">Customer Relationship Management (CRM) Systems: </w:t>
      </w:r>
      <w:r>
        <w:t xml:space="preserve">Salesforce | Microsoft Dynamics CRM </w:t>
      </w:r>
      <w:r>
        <w:rPr>
          <w:b/>
        </w:rPr>
        <w:t xml:space="preserve">Enterprise </w:t>
      </w:r>
    </w:p>
    <w:p w:rsidR="00C23FF9" w:rsidRDefault="00C11D25">
      <w:pPr>
        <w:spacing w:after="88"/>
        <w:ind w:left="365" w:right="1" w:firstLine="0"/>
      </w:pPr>
      <w:r>
        <w:rPr>
          <w:b/>
        </w:rPr>
        <w:t xml:space="preserve">Resource Planning (ERP) Systems: </w:t>
      </w:r>
      <w:r>
        <w:t xml:space="preserve">SAP | Oracle ERP Cloud | SAS </w:t>
      </w:r>
      <w:r>
        <w:rPr>
          <w:b/>
        </w:rPr>
        <w:t xml:space="preserve">Methodologies: </w:t>
      </w:r>
      <w:r>
        <w:t xml:space="preserve">SDLC | Agile | Waterfall </w:t>
      </w:r>
    </w:p>
    <w:p w:rsidR="00C23FF9" w:rsidRDefault="00C11D25">
      <w:pPr>
        <w:pStyle w:val="Heading2"/>
        <w:ind w:left="381" w:right="2"/>
        <w:jc w:val="center"/>
      </w:pPr>
      <w:r>
        <w:t xml:space="preserve">PROJECTS Medical Insurance Cost Analysis </w:t>
      </w:r>
    </w:p>
    <w:p w:rsidR="00C23FF9" w:rsidRDefault="00C11D25">
      <w:pPr>
        <w:spacing w:after="43" w:line="259" w:lineRule="auto"/>
        <w:ind w:left="330" w:right="-31" w:firstLine="0"/>
      </w:pPr>
      <w:r>
        <w:rPr>
          <w:rFonts w:ascii="Calibri" w:eastAsia="Calibri" w:hAnsi="Calibri" w:cs="Calibri"/>
          <w:noProof/>
          <w:sz w:val="22"/>
        </w:rPr>
        <mc:AlternateContent>
          <mc:Choice Requires="wpg">
            <w:drawing>
              <wp:inline distT="0" distB="0" distL="0" distR="0">
                <wp:extent cx="6438646" cy="6096"/>
                <wp:effectExtent l="0" t="0" r="0" b="0"/>
                <wp:docPr id="6330" name="Group 6330"/>
                <wp:cNvGraphicFramePr/>
                <a:graphic xmlns:a="http://schemas.openxmlformats.org/drawingml/2006/main">
                  <a:graphicData uri="http://schemas.microsoft.com/office/word/2010/wordprocessingGroup">
                    <wpg:wgp>
                      <wpg:cNvGrpSpPr/>
                      <wpg:grpSpPr>
                        <a:xfrm>
                          <a:off x="0" y="0"/>
                          <a:ext cx="6438646" cy="6096"/>
                          <a:chOff x="0" y="0"/>
                          <a:chExt cx="6438646" cy="6096"/>
                        </a:xfrm>
                      </wpg:grpSpPr>
                      <wps:wsp>
                        <wps:cNvPr id="7088" name="Shape 7088"/>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30" style="width:506.98pt;height:0.480011pt;mso-position-horizontal-relative:char;mso-position-vertical-relative:line" coordsize="64386,60">
                <v:shape id="Shape 7089" style="position:absolute;width:64386;height:91;left:0;top:0;" coordsize="6438646,9144" path="m0,0l6438646,0l6438646,9144l0,9144l0,0">
                  <v:stroke weight="0pt" endcap="flat" joinstyle="miter" miterlimit="10" on="false" color="#000000" opacity="0"/>
                  <v:fill on="true" color="#000000"/>
                </v:shape>
              </v:group>
            </w:pict>
          </mc:Fallback>
        </mc:AlternateContent>
      </w:r>
    </w:p>
    <w:p w:rsidR="00C23FF9" w:rsidRDefault="00C11D25">
      <w:pPr>
        <w:numPr>
          <w:ilvl w:val="0"/>
          <w:numId w:val="5"/>
        </w:numPr>
        <w:ind w:right="1" w:hanging="355"/>
      </w:pPr>
      <w:r>
        <w:t xml:space="preserve">Developed and optimized predictive models analyzing </w:t>
      </w:r>
      <w:r>
        <w:rPr>
          <w:b/>
        </w:rPr>
        <w:t>1,300+ insurance records</w:t>
      </w:r>
      <w:r>
        <w:t xml:space="preserve">, increasing accuracy by </w:t>
      </w:r>
      <w:r>
        <w:rPr>
          <w:b/>
        </w:rPr>
        <w:t xml:space="preserve">15% </w:t>
      </w:r>
      <w:r>
        <w:t xml:space="preserve">and identifying cost drivers through data visualization using </w:t>
      </w:r>
      <w:r>
        <w:rPr>
          <w:b/>
        </w:rPr>
        <w:t>ggplot2</w:t>
      </w:r>
      <w:r>
        <w:t xml:space="preserve">. </w:t>
      </w:r>
    </w:p>
    <w:p w:rsidR="00C23FF9" w:rsidRDefault="00C11D25">
      <w:pPr>
        <w:numPr>
          <w:ilvl w:val="0"/>
          <w:numId w:val="5"/>
        </w:numPr>
        <w:spacing w:after="172"/>
        <w:ind w:right="1" w:hanging="355"/>
      </w:pPr>
      <w:r>
        <w:t xml:space="preserve">Demonstrated actionable insights to stakeholders, leading to strategic policy adjustments and enhanced decision- making efficiency. </w:t>
      </w:r>
    </w:p>
    <w:p w:rsidR="00C23FF9" w:rsidRDefault="00C11D25">
      <w:pPr>
        <w:pStyle w:val="Heading2"/>
        <w:ind w:left="360"/>
      </w:pPr>
      <w:r>
        <w:t xml:space="preserve">Business model assessment and sales team acquisition at </w:t>
      </w:r>
      <w:proofErr w:type="spellStart"/>
      <w:r>
        <w:t>Remajin</w:t>
      </w:r>
      <w:proofErr w:type="spellEnd"/>
      <w:r>
        <w:t xml:space="preserve"> </w:t>
      </w:r>
    </w:p>
    <w:p w:rsidR="00C23FF9" w:rsidRDefault="00C11D25">
      <w:pPr>
        <w:numPr>
          <w:ilvl w:val="0"/>
          <w:numId w:val="6"/>
        </w:numPr>
        <w:ind w:right="1" w:hanging="360"/>
      </w:pPr>
      <w:r>
        <w:t xml:space="preserve">Analyzed </w:t>
      </w:r>
      <w:r>
        <w:rPr>
          <w:b/>
        </w:rPr>
        <w:t xml:space="preserve">business models (M2R, B2B, and D2C) </w:t>
      </w:r>
      <w:r>
        <w:t xml:space="preserve">by implementing strategic adjustments, improving market adaptability by 30%, and enhancing stakeholder engagement. </w:t>
      </w:r>
    </w:p>
    <w:p w:rsidR="00C23FF9" w:rsidRDefault="00C11D25">
      <w:pPr>
        <w:numPr>
          <w:ilvl w:val="0"/>
          <w:numId w:val="6"/>
        </w:numPr>
        <w:ind w:right="1" w:hanging="360"/>
      </w:pPr>
      <w:r>
        <w:t xml:space="preserve">Conceptualized the </w:t>
      </w:r>
      <w:proofErr w:type="spellStart"/>
      <w:r>
        <w:rPr>
          <w:b/>
        </w:rPr>
        <w:t>Remajin</w:t>
      </w:r>
      <w:proofErr w:type="spellEnd"/>
      <w:r>
        <w:rPr>
          <w:b/>
        </w:rPr>
        <w:t xml:space="preserve"> Development Partner (RDP) program</w:t>
      </w:r>
      <w:r>
        <w:t xml:space="preserve">, increasing retailer onboarding by 40% and expanding partnerships to 32 manufacturers and 100+ retailers while developing BRDs to guide data-driven initiatives. </w:t>
      </w:r>
    </w:p>
    <w:p w:rsidR="00C23FF9" w:rsidRDefault="00C11D25">
      <w:pPr>
        <w:spacing w:after="0" w:line="259" w:lineRule="auto"/>
        <w:ind w:left="0" w:firstLine="0"/>
      </w:pPr>
      <w:r>
        <w:t xml:space="preserve"> </w:t>
      </w:r>
    </w:p>
    <w:p w:rsidR="00C23FF9" w:rsidRDefault="00C11D25">
      <w:pPr>
        <w:pStyle w:val="Heading2"/>
        <w:spacing w:after="0"/>
        <w:ind w:left="381" w:right="5"/>
        <w:jc w:val="center"/>
      </w:pPr>
      <w:r>
        <w:t xml:space="preserve">CERTIFICATIONS </w:t>
      </w:r>
    </w:p>
    <w:p w:rsidR="00C23FF9" w:rsidRDefault="00C11D25">
      <w:pPr>
        <w:spacing w:after="55" w:line="259" w:lineRule="auto"/>
        <w:ind w:left="330" w:right="-31" w:firstLine="0"/>
      </w:pPr>
      <w:r>
        <w:rPr>
          <w:rFonts w:ascii="Calibri" w:eastAsia="Calibri" w:hAnsi="Calibri" w:cs="Calibri"/>
          <w:noProof/>
          <w:sz w:val="22"/>
        </w:rPr>
        <mc:AlternateContent>
          <mc:Choice Requires="wpg">
            <w:drawing>
              <wp:inline distT="0" distB="0" distL="0" distR="0">
                <wp:extent cx="6438646" cy="6094"/>
                <wp:effectExtent l="0" t="0" r="0" b="0"/>
                <wp:docPr id="6331" name="Group 6331"/>
                <wp:cNvGraphicFramePr/>
                <a:graphic xmlns:a="http://schemas.openxmlformats.org/drawingml/2006/main">
                  <a:graphicData uri="http://schemas.microsoft.com/office/word/2010/wordprocessingGroup">
                    <wpg:wgp>
                      <wpg:cNvGrpSpPr/>
                      <wpg:grpSpPr>
                        <a:xfrm>
                          <a:off x="0" y="0"/>
                          <a:ext cx="6438646" cy="6094"/>
                          <a:chOff x="0" y="0"/>
                          <a:chExt cx="6438646" cy="6094"/>
                        </a:xfrm>
                      </wpg:grpSpPr>
                      <wps:wsp>
                        <wps:cNvPr id="7090" name="Shape 7090"/>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31" style="width:506.98pt;height:0.479858pt;mso-position-horizontal-relative:char;mso-position-vertical-relative:line" coordsize="64386,60">
                <v:shape id="Shape 7091" style="position:absolute;width:64386;height:91;left:0;top:0;" coordsize="6438646,9144" path="m0,0l6438646,0l6438646,9144l0,9144l0,0">
                  <v:stroke weight="0pt" endcap="flat" joinstyle="miter" miterlimit="10" on="false" color="#000000" opacity="0"/>
                  <v:fill on="true" color="#000000"/>
                </v:shape>
              </v:group>
            </w:pict>
          </mc:Fallback>
        </mc:AlternateContent>
      </w:r>
    </w:p>
    <w:p w:rsidR="00C23FF9" w:rsidRDefault="00C11D25">
      <w:pPr>
        <w:numPr>
          <w:ilvl w:val="0"/>
          <w:numId w:val="7"/>
        </w:numPr>
        <w:spacing w:after="33"/>
        <w:ind w:right="1" w:hanging="355"/>
      </w:pPr>
      <w:r>
        <w:t xml:space="preserve">Lean Six Sigma Green Belt </w:t>
      </w:r>
      <w:r>
        <w:rPr>
          <w:b/>
        </w:rPr>
        <w:t xml:space="preserve">– </w:t>
      </w:r>
      <w:r>
        <w:t xml:space="preserve">San Jose State University </w:t>
      </w:r>
    </w:p>
    <w:p w:rsidR="00C23FF9" w:rsidRDefault="00C11D25">
      <w:pPr>
        <w:numPr>
          <w:ilvl w:val="0"/>
          <w:numId w:val="7"/>
        </w:numPr>
        <w:spacing w:after="41"/>
        <w:ind w:right="1" w:hanging="355"/>
      </w:pPr>
      <w:r>
        <w:t xml:space="preserve">SQL – LinkedIn </w:t>
      </w:r>
    </w:p>
    <w:p w:rsidR="00C23FF9" w:rsidRDefault="00C11D25">
      <w:pPr>
        <w:numPr>
          <w:ilvl w:val="0"/>
          <w:numId w:val="7"/>
        </w:numPr>
        <w:ind w:right="1" w:hanging="355"/>
      </w:pPr>
      <w:r>
        <w:t xml:space="preserve">Empower modern analytics and business intelligence data cultures with Excel, Power BI – Microsoft </w:t>
      </w:r>
    </w:p>
    <w:p w:rsidR="00C23FF9" w:rsidRDefault="00C11D25">
      <w:pPr>
        <w:numPr>
          <w:ilvl w:val="0"/>
          <w:numId w:val="7"/>
        </w:numPr>
        <w:spacing w:after="41"/>
        <w:ind w:right="1" w:hanging="355"/>
      </w:pPr>
      <w:r>
        <w:t xml:space="preserve">Project Management Foundations - PMI </w:t>
      </w:r>
    </w:p>
    <w:p w:rsidR="00C23FF9" w:rsidRDefault="00C11D25">
      <w:pPr>
        <w:numPr>
          <w:ilvl w:val="0"/>
          <w:numId w:val="7"/>
        </w:numPr>
        <w:ind w:right="1" w:hanging="355"/>
      </w:pPr>
      <w:r>
        <w:lastRenderedPageBreak/>
        <w:t xml:space="preserve">Project Management: Risk Management – PMI </w:t>
      </w:r>
    </w:p>
    <w:p w:rsidR="00C23FF9" w:rsidRDefault="00C11D25">
      <w:pPr>
        <w:numPr>
          <w:ilvl w:val="0"/>
          <w:numId w:val="7"/>
        </w:numPr>
        <w:spacing w:after="36"/>
        <w:ind w:right="1" w:hanging="355"/>
      </w:pPr>
      <w:r>
        <w:t xml:space="preserve">Project Management: Preventing Scoop Creep - PMI </w:t>
      </w:r>
    </w:p>
    <w:p w:rsidR="00C23FF9" w:rsidRDefault="00C11D25">
      <w:pPr>
        <w:numPr>
          <w:ilvl w:val="0"/>
          <w:numId w:val="7"/>
        </w:numPr>
        <w:spacing w:after="34"/>
        <w:ind w:right="1" w:hanging="355"/>
      </w:pPr>
      <w:r>
        <w:t xml:space="preserve">Business Analysis Foundations - IIBA </w:t>
      </w:r>
    </w:p>
    <w:p w:rsidR="00C23FF9" w:rsidRDefault="00C11D25">
      <w:pPr>
        <w:numPr>
          <w:ilvl w:val="0"/>
          <w:numId w:val="7"/>
        </w:numPr>
        <w:ind w:right="1" w:hanging="355"/>
      </w:pPr>
      <w:r>
        <w:t xml:space="preserve">Programming with Python - </w:t>
      </w:r>
      <w:proofErr w:type="spellStart"/>
      <w:r>
        <w:t>Internshala</w:t>
      </w:r>
      <w:proofErr w:type="spellEnd"/>
      <w:r>
        <w:t xml:space="preserve"> </w:t>
      </w:r>
    </w:p>
    <w:p w:rsidR="00C23FF9" w:rsidRDefault="00C11D25">
      <w:pPr>
        <w:numPr>
          <w:ilvl w:val="0"/>
          <w:numId w:val="7"/>
        </w:numPr>
        <w:spacing w:after="5"/>
        <w:ind w:right="1" w:hanging="355"/>
      </w:pPr>
      <w:r>
        <w:t xml:space="preserve">Product Management Professional Certification – Aha! </w:t>
      </w:r>
    </w:p>
    <w:p w:rsidR="00C23FF9" w:rsidRDefault="00C11D25">
      <w:pPr>
        <w:spacing w:after="0" w:line="259" w:lineRule="auto"/>
        <w:ind w:left="0" w:firstLine="0"/>
      </w:pPr>
      <w:r>
        <w:t xml:space="preserve"> </w:t>
      </w:r>
    </w:p>
    <w:p w:rsidR="00C23FF9" w:rsidRDefault="00C11D25">
      <w:pPr>
        <w:pStyle w:val="Heading2"/>
        <w:spacing w:after="0"/>
        <w:ind w:left="381" w:right="2"/>
        <w:jc w:val="center"/>
      </w:pPr>
      <w:r>
        <w:t xml:space="preserve">PUBLICATIONS Impact of AI on Product Lifecycle </w:t>
      </w:r>
      <w:hyperlink r:id="rId8">
        <w:r>
          <w:rPr>
            <w:b w:val="0"/>
          </w:rPr>
          <w:t>(</w:t>
        </w:r>
      </w:hyperlink>
      <w:hyperlink r:id="rId9">
        <w:r>
          <w:rPr>
            <w:b w:val="0"/>
            <w:color w:val="0000FF"/>
            <w:u w:val="single" w:color="0000FF"/>
          </w:rPr>
          <w:t>Link</w:t>
        </w:r>
      </w:hyperlink>
      <w:hyperlink r:id="rId10">
        <w:r>
          <w:rPr>
            <w:b w:val="0"/>
          </w:rPr>
          <w:t>)</w:t>
        </w:r>
      </w:hyperlink>
      <w:r>
        <w:rPr>
          <w:b w:val="0"/>
        </w:rPr>
        <w:t xml:space="preserve"> </w:t>
      </w:r>
      <w:r>
        <w:rPr>
          <w:b w:val="0"/>
        </w:rPr>
        <w:tab/>
        <w:t xml:space="preserve">Aug 2024 </w:t>
      </w:r>
    </w:p>
    <w:p w:rsidR="00C23FF9" w:rsidRDefault="00C11D25">
      <w:pPr>
        <w:spacing w:after="32" w:line="259" w:lineRule="auto"/>
        <w:ind w:left="330" w:right="-31" w:firstLine="0"/>
      </w:pPr>
      <w:r>
        <w:rPr>
          <w:rFonts w:ascii="Calibri" w:eastAsia="Calibri" w:hAnsi="Calibri" w:cs="Calibri"/>
          <w:noProof/>
          <w:sz w:val="22"/>
        </w:rPr>
        <mc:AlternateContent>
          <mc:Choice Requires="wpg">
            <w:drawing>
              <wp:inline distT="0" distB="0" distL="0" distR="0">
                <wp:extent cx="6438646" cy="6094"/>
                <wp:effectExtent l="0" t="0" r="0" b="0"/>
                <wp:docPr id="6332" name="Group 6332"/>
                <wp:cNvGraphicFramePr/>
                <a:graphic xmlns:a="http://schemas.openxmlformats.org/drawingml/2006/main">
                  <a:graphicData uri="http://schemas.microsoft.com/office/word/2010/wordprocessingGroup">
                    <wpg:wgp>
                      <wpg:cNvGrpSpPr/>
                      <wpg:grpSpPr>
                        <a:xfrm>
                          <a:off x="0" y="0"/>
                          <a:ext cx="6438646" cy="6094"/>
                          <a:chOff x="0" y="0"/>
                          <a:chExt cx="6438646" cy="6094"/>
                        </a:xfrm>
                      </wpg:grpSpPr>
                      <wps:wsp>
                        <wps:cNvPr id="7092" name="Shape 7092"/>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32" style="width:506.98pt;height:0.479858pt;mso-position-horizontal-relative:char;mso-position-vertical-relative:line" coordsize="64386,60">
                <v:shape id="Shape 7093" style="position:absolute;width:64386;height:91;left:0;top:0;" coordsize="6438646,9144" path="m0,0l6438646,0l6438646,9144l0,9144l0,0">
                  <v:stroke weight="0pt" endcap="flat" joinstyle="miter" miterlimit="10" on="false" color="#000000" opacity="0"/>
                  <v:fill on="true" color="#000000"/>
                </v:shape>
              </v:group>
            </w:pict>
          </mc:Fallback>
        </mc:AlternateContent>
      </w:r>
    </w:p>
    <w:p w:rsidR="00C23FF9" w:rsidRDefault="00C11D25">
      <w:pPr>
        <w:ind w:left="365" w:right="1" w:firstLine="0"/>
      </w:pPr>
      <w:r>
        <w:t xml:space="preserve">IEEE </w:t>
      </w:r>
      <w:proofErr w:type="spellStart"/>
      <w:r>
        <w:t>Xplore</w:t>
      </w:r>
      <w:proofErr w:type="spellEnd"/>
      <w:r>
        <w:t xml:space="preserve">, 2021 </w:t>
      </w:r>
    </w:p>
    <w:p w:rsidR="00C23FF9" w:rsidRDefault="00C11D25">
      <w:pPr>
        <w:numPr>
          <w:ilvl w:val="0"/>
          <w:numId w:val="8"/>
        </w:numPr>
        <w:ind w:right="1" w:hanging="355"/>
      </w:pPr>
      <w:r>
        <w:t xml:space="preserve">Led an in-depth analysis of AI’s role in enhancing decision-making across the product lifecycle, identifying key AI tools that increased operational efficiency by over 40%. </w:t>
      </w:r>
    </w:p>
    <w:p w:rsidR="00C23FF9" w:rsidRDefault="00C11D25">
      <w:pPr>
        <w:numPr>
          <w:ilvl w:val="0"/>
          <w:numId w:val="8"/>
        </w:numPr>
        <w:ind w:right="1" w:hanging="355"/>
      </w:pPr>
      <w:r>
        <w:t xml:space="preserve">Presented findings at the PICMET '24 conference, contributing valuable insights on integration of AI in engineering management, and offering recommendations for industry-wide implementation. </w:t>
      </w:r>
    </w:p>
    <w:sectPr w:rsidR="00C23FF9">
      <w:pgSz w:w="12240" w:h="15840"/>
      <w:pgMar w:top="527" w:right="1081" w:bottom="40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54A"/>
    <w:multiLevelType w:val="hybridMultilevel"/>
    <w:tmpl w:val="0DD2B500"/>
    <w:lvl w:ilvl="0" w:tplc="6FEE8880">
      <w:start w:val="1"/>
      <w:numFmt w:val="bullet"/>
      <w:lvlText w:val="●"/>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E83AA8">
      <w:start w:val="1"/>
      <w:numFmt w:val="bullet"/>
      <w:lvlText w:val="o"/>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A81D24">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C09638">
      <w:start w:val="1"/>
      <w:numFmt w:val="bullet"/>
      <w:lvlText w:val="•"/>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A036F4">
      <w:start w:val="1"/>
      <w:numFmt w:val="bullet"/>
      <w:lvlText w:val="o"/>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669FF4">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6894D8">
      <w:start w:val="1"/>
      <w:numFmt w:val="bullet"/>
      <w:lvlText w:val="•"/>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6E1122">
      <w:start w:val="1"/>
      <w:numFmt w:val="bullet"/>
      <w:lvlText w:val="o"/>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F8EE2C">
      <w:start w:val="1"/>
      <w:numFmt w:val="bullet"/>
      <w:lvlText w:val="▪"/>
      <w:lvlJc w:val="left"/>
      <w:pPr>
        <w:ind w:left="6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70010B"/>
    <w:multiLevelType w:val="hybridMultilevel"/>
    <w:tmpl w:val="613EF920"/>
    <w:lvl w:ilvl="0" w:tplc="E3663BCC">
      <w:start w:val="1"/>
      <w:numFmt w:val="bullet"/>
      <w:lvlText w:val="●"/>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D8DCC8">
      <w:start w:val="1"/>
      <w:numFmt w:val="bullet"/>
      <w:lvlText w:val="o"/>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BC4CB4">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987A00">
      <w:start w:val="1"/>
      <w:numFmt w:val="bullet"/>
      <w:lvlText w:val="•"/>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3A963E">
      <w:start w:val="1"/>
      <w:numFmt w:val="bullet"/>
      <w:lvlText w:val="o"/>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209A7A">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BE5E9E">
      <w:start w:val="1"/>
      <w:numFmt w:val="bullet"/>
      <w:lvlText w:val="•"/>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D61512">
      <w:start w:val="1"/>
      <w:numFmt w:val="bullet"/>
      <w:lvlText w:val="o"/>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44A988">
      <w:start w:val="1"/>
      <w:numFmt w:val="bullet"/>
      <w:lvlText w:val="▪"/>
      <w:lvlJc w:val="left"/>
      <w:pPr>
        <w:ind w:left="6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2C7904"/>
    <w:multiLevelType w:val="hybridMultilevel"/>
    <w:tmpl w:val="9CC82F34"/>
    <w:lvl w:ilvl="0" w:tplc="4EAEC660">
      <w:start w:val="1"/>
      <w:numFmt w:val="bullet"/>
      <w:lvlText w:val="●"/>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AAFA7A">
      <w:start w:val="1"/>
      <w:numFmt w:val="bullet"/>
      <w:lvlText w:val="o"/>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E4E8E4">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72F592">
      <w:start w:val="1"/>
      <w:numFmt w:val="bullet"/>
      <w:lvlText w:val="•"/>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DE5CE2">
      <w:start w:val="1"/>
      <w:numFmt w:val="bullet"/>
      <w:lvlText w:val="o"/>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AAE00E">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4E82C4">
      <w:start w:val="1"/>
      <w:numFmt w:val="bullet"/>
      <w:lvlText w:val="•"/>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B6FA18">
      <w:start w:val="1"/>
      <w:numFmt w:val="bullet"/>
      <w:lvlText w:val="o"/>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6CD68C">
      <w:start w:val="1"/>
      <w:numFmt w:val="bullet"/>
      <w:lvlText w:val="▪"/>
      <w:lvlJc w:val="left"/>
      <w:pPr>
        <w:ind w:left="6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E96EEF"/>
    <w:multiLevelType w:val="hybridMultilevel"/>
    <w:tmpl w:val="418018B8"/>
    <w:lvl w:ilvl="0" w:tplc="9202ED64">
      <w:start w:val="1"/>
      <w:numFmt w:val="bullet"/>
      <w:lvlText w:val="●"/>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0C5390">
      <w:start w:val="1"/>
      <w:numFmt w:val="bullet"/>
      <w:lvlText w:val="o"/>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466E12">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6C9680">
      <w:start w:val="1"/>
      <w:numFmt w:val="bullet"/>
      <w:lvlText w:val="•"/>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068614">
      <w:start w:val="1"/>
      <w:numFmt w:val="bullet"/>
      <w:lvlText w:val="o"/>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32FBDE">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F6F98E">
      <w:start w:val="1"/>
      <w:numFmt w:val="bullet"/>
      <w:lvlText w:val="•"/>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72E596">
      <w:start w:val="1"/>
      <w:numFmt w:val="bullet"/>
      <w:lvlText w:val="o"/>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0097E4">
      <w:start w:val="1"/>
      <w:numFmt w:val="bullet"/>
      <w:lvlText w:val="▪"/>
      <w:lvlJc w:val="left"/>
      <w:pPr>
        <w:ind w:left="6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EA1C1B"/>
    <w:multiLevelType w:val="hybridMultilevel"/>
    <w:tmpl w:val="F5627B00"/>
    <w:lvl w:ilvl="0" w:tplc="2C425C9A">
      <w:start w:val="1"/>
      <w:numFmt w:val="bullet"/>
      <w:lvlText w:val="●"/>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EE7796">
      <w:start w:val="1"/>
      <w:numFmt w:val="bullet"/>
      <w:lvlText w:val="o"/>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1497DE">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C41B78">
      <w:start w:val="1"/>
      <w:numFmt w:val="bullet"/>
      <w:lvlText w:val="•"/>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606B1E">
      <w:start w:val="1"/>
      <w:numFmt w:val="bullet"/>
      <w:lvlText w:val="o"/>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849774">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7EA786">
      <w:start w:val="1"/>
      <w:numFmt w:val="bullet"/>
      <w:lvlText w:val="•"/>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C86584">
      <w:start w:val="1"/>
      <w:numFmt w:val="bullet"/>
      <w:lvlText w:val="o"/>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B21B1E">
      <w:start w:val="1"/>
      <w:numFmt w:val="bullet"/>
      <w:lvlText w:val="▪"/>
      <w:lvlJc w:val="left"/>
      <w:pPr>
        <w:ind w:left="6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722365"/>
    <w:multiLevelType w:val="hybridMultilevel"/>
    <w:tmpl w:val="1532850A"/>
    <w:lvl w:ilvl="0" w:tplc="5AB065CC">
      <w:start w:val="1"/>
      <w:numFmt w:val="bullet"/>
      <w:lvlText w:val="●"/>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E6C080">
      <w:start w:val="1"/>
      <w:numFmt w:val="bullet"/>
      <w:lvlText w:val="o"/>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E813B0">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2009C">
      <w:start w:val="1"/>
      <w:numFmt w:val="bullet"/>
      <w:lvlText w:val="•"/>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4CA62E">
      <w:start w:val="1"/>
      <w:numFmt w:val="bullet"/>
      <w:lvlText w:val="o"/>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CC9580">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47406">
      <w:start w:val="1"/>
      <w:numFmt w:val="bullet"/>
      <w:lvlText w:val="•"/>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E0954">
      <w:start w:val="1"/>
      <w:numFmt w:val="bullet"/>
      <w:lvlText w:val="o"/>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C87A68">
      <w:start w:val="1"/>
      <w:numFmt w:val="bullet"/>
      <w:lvlText w:val="▪"/>
      <w:lvlJc w:val="left"/>
      <w:pPr>
        <w:ind w:left="6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FB0B7A"/>
    <w:multiLevelType w:val="hybridMultilevel"/>
    <w:tmpl w:val="D1FEA96E"/>
    <w:lvl w:ilvl="0" w:tplc="8D825844">
      <w:start w:val="1"/>
      <w:numFmt w:val="bullet"/>
      <w:lvlText w:val="●"/>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A88292">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4E6B6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1E83C8">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7AB60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4CB6F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E4088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92D0BA">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FEDDBC">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B06967"/>
    <w:multiLevelType w:val="hybridMultilevel"/>
    <w:tmpl w:val="BEB0182C"/>
    <w:lvl w:ilvl="0" w:tplc="B7B4F012">
      <w:start w:val="1"/>
      <w:numFmt w:val="bullet"/>
      <w:lvlText w:val="●"/>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681A4A">
      <w:start w:val="1"/>
      <w:numFmt w:val="bullet"/>
      <w:lvlText w:val="o"/>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D8EE20">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22D9F2">
      <w:start w:val="1"/>
      <w:numFmt w:val="bullet"/>
      <w:lvlText w:val="•"/>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6D88A">
      <w:start w:val="1"/>
      <w:numFmt w:val="bullet"/>
      <w:lvlText w:val="o"/>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CE92E">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5675DE">
      <w:start w:val="1"/>
      <w:numFmt w:val="bullet"/>
      <w:lvlText w:val="•"/>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64F284">
      <w:start w:val="1"/>
      <w:numFmt w:val="bullet"/>
      <w:lvlText w:val="o"/>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E8346">
      <w:start w:val="1"/>
      <w:numFmt w:val="bullet"/>
      <w:lvlText w:val="▪"/>
      <w:lvlJc w:val="left"/>
      <w:pPr>
        <w:ind w:left="6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F9"/>
    <w:rsid w:val="00175E2B"/>
    <w:rsid w:val="00B546B0"/>
    <w:rsid w:val="00C11D25"/>
    <w:rsid w:val="00C23FF9"/>
    <w:rsid w:val="00E1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FBDC"/>
  <w15:docId w15:val="{BB646A63-B198-45F0-A772-D8659149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3" w:line="251" w:lineRule="auto"/>
      <w:ind w:left="735" w:hanging="370"/>
    </w:pPr>
    <w:rPr>
      <w:rFonts w:ascii="Cambria" w:eastAsia="Cambria" w:hAnsi="Cambria" w:cs="Cambria"/>
      <w:color w:val="000000"/>
      <w:sz w:val="17"/>
    </w:rPr>
  </w:style>
  <w:style w:type="paragraph" w:styleId="Heading1">
    <w:name w:val="heading 1"/>
    <w:next w:val="Normal"/>
    <w:link w:val="Heading1Char"/>
    <w:uiPriority w:val="9"/>
    <w:unhideWhenUsed/>
    <w:qFormat/>
    <w:pPr>
      <w:keepNext/>
      <w:keepLines/>
      <w:spacing w:after="0"/>
      <w:ind w:left="372"/>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64"/>
      <w:ind w:left="373" w:hanging="10"/>
      <w:outlineLvl w:val="1"/>
    </w:pPr>
    <w:rPr>
      <w:rFonts w:ascii="Cambria" w:eastAsia="Cambria" w:hAnsi="Cambria" w:cs="Cambria"/>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17"/>
    </w:rPr>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10653237" TargetMode="External"/><Relationship Id="rId3" Type="http://schemas.openxmlformats.org/officeDocument/2006/relationships/settings" Target="settings.xml"/><Relationship Id="rId7" Type="http://schemas.openxmlformats.org/officeDocument/2006/relationships/hyperlink" Target="https://www.linkedin.com/in/atmesh-tiwa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tmesh-tiwari/" TargetMode="External"/><Relationship Id="rId11" Type="http://schemas.openxmlformats.org/officeDocument/2006/relationships/fontTable" Target="fontTable.xml"/><Relationship Id="rId5" Type="http://schemas.openxmlformats.org/officeDocument/2006/relationships/hyperlink" Target="https://www.linkedin.com/in/atmesh-tiwari/" TargetMode="External"/><Relationship Id="rId10" Type="http://schemas.openxmlformats.org/officeDocument/2006/relationships/hyperlink" Target="https://ieeexplore.ieee.org/document/10653237" TargetMode="External"/><Relationship Id="rId4" Type="http://schemas.openxmlformats.org/officeDocument/2006/relationships/webSettings" Target="webSettings.xml"/><Relationship Id="rId9" Type="http://schemas.openxmlformats.org/officeDocument/2006/relationships/hyperlink" Target="https://ieeexplore.ieee.org/document/10653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Soni</dc:creator>
  <cp:keywords/>
  <cp:lastModifiedBy>Shaikh Mohammad Tahir</cp:lastModifiedBy>
  <cp:revision>4</cp:revision>
  <dcterms:created xsi:type="dcterms:W3CDTF">2025-03-17T18:02:00Z</dcterms:created>
  <dcterms:modified xsi:type="dcterms:W3CDTF">2025-03-31T22:03:00Z</dcterms:modified>
</cp:coreProperties>
</file>