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59" w:rsidRDefault="00604FA0">
      <w:pPr>
        <w:pStyle w:val="Heading1"/>
      </w:pPr>
      <w:r>
        <w:t xml:space="preserve">                                                       Neha Mudiraj Light</w:t>
      </w:r>
      <w:r>
        <w:rPr>
          <w:color w:val="000000"/>
          <w:sz w:val="32"/>
        </w:rPr>
        <w:t xml:space="preserve"> </w:t>
      </w:r>
      <w:r w:rsidR="00086E32">
        <w:br/>
        <w:t xml:space="preserve">                                                   </w:t>
      </w:r>
      <w:r>
        <w:t xml:space="preserve">Fraud and Risk Analyst </w:t>
      </w:r>
    </w:p>
    <w:p w:rsidR="00E55E59" w:rsidRDefault="00604FA0">
      <w:pPr>
        <w:pStyle w:val="Heading2"/>
      </w:pPr>
      <w:r>
        <w:rPr>
          <w:color w:val="1F487C"/>
        </w:rPr>
        <w:t xml:space="preserve">                      </w:t>
      </w:r>
      <w:r>
        <w:t>Location: WA| Phone: (248) 832- 0902 |Email: nlight4747@gmail.com</w:t>
      </w:r>
      <w:r>
        <w:rPr>
          <w:color w:val="1F487C"/>
        </w:rPr>
        <w:t xml:space="preserve"> </w:t>
      </w:r>
    </w:p>
    <w:p w:rsidR="00E55E59" w:rsidRPr="00727DCE" w:rsidRDefault="00604FA0">
      <w:pPr>
        <w:spacing w:after="89"/>
        <w:ind w:left="259" w:right="0"/>
        <w:jc w:val="left"/>
        <w:rPr>
          <w:sz w:val="21"/>
          <w:szCs w:val="21"/>
        </w:rPr>
      </w:pPr>
      <w:r w:rsidRPr="00727DCE">
        <w:rPr>
          <w:b/>
          <w:color w:val="1F487C"/>
          <w:sz w:val="21"/>
          <w:szCs w:val="21"/>
        </w:rPr>
        <w:t>SUMMARY</w:t>
      </w:r>
      <w:r w:rsidRPr="00727DCE">
        <w:rPr>
          <w:b/>
          <w:sz w:val="21"/>
          <w:szCs w:val="21"/>
        </w:rPr>
        <w:t xml:space="preserve"> </w:t>
      </w:r>
    </w:p>
    <w:p w:rsidR="00E55E59" w:rsidRPr="00727DCE" w:rsidRDefault="00604FA0" w:rsidP="002E30DD">
      <w:pPr>
        <w:spacing w:after="147"/>
        <w:ind w:right="191"/>
        <w:rPr>
          <w:sz w:val="21"/>
          <w:szCs w:val="21"/>
        </w:rPr>
      </w:pPr>
      <w:r w:rsidRPr="002E30DD">
        <mc:AlternateContent>
          <mc:Choice Requires="wpg">
            <w:drawing>
              <wp:anchor distT="0" distB="0" distL="114300" distR="114300" simplePos="0" relativeHeight="251658240" behindDoc="0" locked="0" layoutInCell="1" allowOverlap="1">
                <wp:simplePos x="0" y="0"/>
                <wp:positionH relativeFrom="column">
                  <wp:posOffset>149479</wp:posOffset>
                </wp:positionH>
                <wp:positionV relativeFrom="paragraph">
                  <wp:posOffset>2684</wp:posOffset>
                </wp:positionV>
                <wp:extent cx="7162800" cy="9525"/>
                <wp:effectExtent l="0" t="0" r="0" b="0"/>
                <wp:wrapNone/>
                <wp:docPr id="5058" name="Group 5058"/>
                <wp:cNvGraphicFramePr/>
                <a:graphic xmlns:a="http://schemas.openxmlformats.org/drawingml/2006/main">
                  <a:graphicData uri="http://schemas.microsoft.com/office/word/2010/wordprocessingGroup">
                    <wpg:wgp>
                      <wpg:cNvGrpSpPr/>
                      <wpg:grpSpPr>
                        <a:xfrm>
                          <a:off x="0" y="0"/>
                          <a:ext cx="7162800" cy="9525"/>
                          <a:chOff x="0" y="0"/>
                          <a:chExt cx="7162800" cy="9525"/>
                        </a:xfrm>
                      </wpg:grpSpPr>
                      <wps:wsp>
                        <wps:cNvPr id="6244" name="Shape 6244"/>
                        <wps:cNvSpPr/>
                        <wps:spPr>
                          <a:xfrm>
                            <a:off x="0" y="0"/>
                            <a:ext cx="7162800" cy="9525"/>
                          </a:xfrm>
                          <a:custGeom>
                            <a:avLst/>
                            <a:gdLst/>
                            <a:ahLst/>
                            <a:cxnLst/>
                            <a:rect l="0" t="0" r="0" b="0"/>
                            <a:pathLst>
                              <a:path w="7162800" h="9525">
                                <a:moveTo>
                                  <a:pt x="0" y="0"/>
                                </a:moveTo>
                                <a:lnTo>
                                  <a:pt x="7162800" y="0"/>
                                </a:lnTo>
                                <a:lnTo>
                                  <a:pt x="7162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58" style="width:564pt;height:0.75pt;position:absolute;z-index:301;mso-position-horizontal-relative:text;mso-position-horizontal:absolute;margin-left:11.77pt;mso-position-vertical-relative:text;margin-top:0.211311pt;" coordsize="71628,95">
                <v:shape id="Shape 6245" style="position:absolute;width:71628;height:95;left:0;top:0;" coordsize="7162800,9525" path="m0,0l7162800,0l7162800,9525l0,9525l0,0">
                  <v:stroke weight="0pt" endcap="flat" joinstyle="miter" miterlimit="10" on="false" color="#000000" opacity="0"/>
                  <v:fill on="true" color="#000000"/>
                </v:shape>
              </v:group>
            </w:pict>
          </mc:Fallback>
        </mc:AlternateContent>
      </w:r>
      <w:r w:rsidR="002E30DD">
        <w:t xml:space="preserve"> </w:t>
      </w:r>
      <w:r w:rsidR="002E30DD" w:rsidRPr="00727DCE">
        <w:rPr>
          <w:b/>
          <w:sz w:val="21"/>
          <w:szCs w:val="21"/>
        </w:rPr>
        <w:t>Dynamic Fraud</w:t>
      </w:r>
      <w:r w:rsidR="002E30DD" w:rsidRPr="00727DCE">
        <w:rPr>
          <w:sz w:val="21"/>
          <w:szCs w:val="21"/>
        </w:rPr>
        <w:t xml:space="preserve"> and </w:t>
      </w:r>
      <w:r w:rsidR="002E30DD" w:rsidRPr="00727DCE">
        <w:rPr>
          <w:b/>
          <w:sz w:val="21"/>
          <w:szCs w:val="21"/>
        </w:rPr>
        <w:t>Risk Analyst</w:t>
      </w:r>
      <w:r w:rsidR="002E30DD" w:rsidRPr="00727DCE">
        <w:rPr>
          <w:sz w:val="21"/>
          <w:szCs w:val="21"/>
        </w:rPr>
        <w:t xml:space="preserve"> with over </w:t>
      </w:r>
      <w:r w:rsidR="002E30DD" w:rsidRPr="00727DCE">
        <w:rPr>
          <w:b/>
          <w:sz w:val="21"/>
          <w:szCs w:val="21"/>
        </w:rPr>
        <w:t>7 years</w:t>
      </w:r>
      <w:r w:rsidR="002E30DD" w:rsidRPr="00727DCE">
        <w:rPr>
          <w:sz w:val="21"/>
          <w:szCs w:val="21"/>
        </w:rPr>
        <w:t xml:space="preserve"> of proven success in </w:t>
      </w:r>
      <w:r w:rsidR="002E30DD" w:rsidRPr="00727DCE">
        <w:rPr>
          <w:b/>
          <w:sz w:val="21"/>
          <w:szCs w:val="21"/>
        </w:rPr>
        <w:t>Investigations &amp; Compliance</w:t>
      </w:r>
      <w:r w:rsidR="002E30DD" w:rsidRPr="00727DCE">
        <w:rPr>
          <w:sz w:val="21"/>
          <w:szCs w:val="21"/>
        </w:rPr>
        <w:t xml:space="preserve">, leveraging cutting-edge </w:t>
      </w:r>
      <w:r w:rsidR="002E30DD" w:rsidRPr="00727DCE">
        <w:rPr>
          <w:b/>
          <w:sz w:val="21"/>
          <w:szCs w:val="21"/>
        </w:rPr>
        <w:t>OSINT</w:t>
      </w:r>
      <w:r w:rsidR="002E30DD" w:rsidRPr="00727DCE">
        <w:rPr>
          <w:sz w:val="21"/>
          <w:szCs w:val="21"/>
        </w:rPr>
        <w:t xml:space="preserve"> techniques for comprehensive fraud investigations. Renown</w:t>
      </w:r>
      <w:r w:rsidR="002E30DD" w:rsidRPr="00727DCE">
        <w:rPr>
          <w:sz w:val="21"/>
          <w:szCs w:val="21"/>
        </w:rPr>
        <w:t xml:space="preserve">ed for crafting innovative </w:t>
      </w:r>
      <w:r w:rsidR="002E30DD" w:rsidRPr="00727DCE">
        <w:rPr>
          <w:b/>
          <w:sz w:val="21"/>
          <w:szCs w:val="21"/>
        </w:rPr>
        <w:t>Risk Management strategies</w:t>
      </w:r>
      <w:r w:rsidR="002E30DD" w:rsidRPr="00727DCE">
        <w:rPr>
          <w:sz w:val="21"/>
          <w:szCs w:val="21"/>
        </w:rPr>
        <w:t xml:space="preserve"> that harness the power of </w:t>
      </w:r>
      <w:r w:rsidR="002E30DD" w:rsidRPr="00727DCE">
        <w:rPr>
          <w:b/>
          <w:sz w:val="21"/>
          <w:szCs w:val="21"/>
        </w:rPr>
        <w:t>AI</w:t>
      </w:r>
      <w:r w:rsidR="002E30DD" w:rsidRPr="00727DCE">
        <w:rPr>
          <w:sz w:val="21"/>
          <w:szCs w:val="21"/>
        </w:rPr>
        <w:t xml:space="preserve"> for proactive threat analysis </w:t>
      </w:r>
      <w:r w:rsidR="002E30DD" w:rsidRPr="00727DCE">
        <w:rPr>
          <w:sz w:val="21"/>
          <w:szCs w:val="21"/>
        </w:rPr>
        <w:t xml:space="preserve">and risk mitigation. Adept in </w:t>
      </w:r>
      <w:r w:rsidR="002E30DD" w:rsidRPr="00727DCE">
        <w:rPr>
          <w:b/>
          <w:sz w:val="21"/>
          <w:szCs w:val="21"/>
        </w:rPr>
        <w:t>Financial Analysis &amp; Reporting</w:t>
      </w:r>
      <w:r w:rsidR="002E30DD" w:rsidRPr="00727DCE">
        <w:rPr>
          <w:sz w:val="21"/>
          <w:szCs w:val="21"/>
        </w:rPr>
        <w:t>, adeptly navigating complex fina</w:t>
      </w:r>
      <w:r w:rsidR="002E30DD" w:rsidRPr="00727DCE">
        <w:rPr>
          <w:sz w:val="21"/>
          <w:szCs w:val="21"/>
        </w:rPr>
        <w:t xml:space="preserve">ncial landscapes and ensuring </w:t>
      </w:r>
      <w:r w:rsidR="002E30DD" w:rsidRPr="00727DCE">
        <w:rPr>
          <w:b/>
          <w:sz w:val="21"/>
          <w:szCs w:val="21"/>
        </w:rPr>
        <w:t>CTR</w:t>
      </w:r>
      <w:r w:rsidR="002E30DD" w:rsidRPr="00727DCE">
        <w:rPr>
          <w:sz w:val="21"/>
          <w:szCs w:val="21"/>
        </w:rPr>
        <w:t xml:space="preserve"> </w:t>
      </w:r>
      <w:r w:rsidR="002E30DD" w:rsidRPr="00727DCE">
        <w:rPr>
          <w:sz w:val="21"/>
          <w:szCs w:val="21"/>
        </w:rPr>
        <w:t>compliance through exp</w:t>
      </w:r>
      <w:r w:rsidR="002E30DD" w:rsidRPr="00727DCE">
        <w:rPr>
          <w:sz w:val="21"/>
          <w:szCs w:val="21"/>
        </w:rPr>
        <w:t xml:space="preserve">ert utilization of tools like </w:t>
      </w:r>
      <w:r w:rsidR="002E30DD" w:rsidRPr="00727DCE">
        <w:rPr>
          <w:b/>
          <w:sz w:val="21"/>
          <w:szCs w:val="21"/>
        </w:rPr>
        <w:t>Accurint</w:t>
      </w:r>
      <w:r w:rsidR="002E30DD" w:rsidRPr="00727DCE">
        <w:rPr>
          <w:sz w:val="21"/>
          <w:szCs w:val="21"/>
        </w:rPr>
        <w:t>. Distinguished by a history of optimizing operational efficiency and refining risk scoring models,</w:t>
      </w:r>
      <w:r w:rsidR="002E30DD" w:rsidRPr="00727DCE">
        <w:rPr>
          <w:sz w:val="21"/>
          <w:szCs w:val="21"/>
        </w:rPr>
        <w:t xml:space="preserve"> exemplifying a commitment to </w:t>
      </w:r>
      <w:r w:rsidR="002E30DD" w:rsidRPr="00727DCE">
        <w:rPr>
          <w:b/>
          <w:sz w:val="21"/>
          <w:szCs w:val="21"/>
        </w:rPr>
        <w:t>Oper</w:t>
      </w:r>
      <w:r w:rsidR="002E30DD" w:rsidRPr="00727DCE">
        <w:rPr>
          <w:b/>
          <w:sz w:val="21"/>
          <w:szCs w:val="21"/>
        </w:rPr>
        <w:t>ational Excellence</w:t>
      </w:r>
      <w:r w:rsidR="002E30DD" w:rsidRPr="00727DCE">
        <w:rPr>
          <w:sz w:val="21"/>
          <w:szCs w:val="21"/>
        </w:rPr>
        <w:t xml:space="preserve"> honed at </w:t>
      </w:r>
      <w:r w:rsidR="002E30DD" w:rsidRPr="00727DCE">
        <w:rPr>
          <w:b/>
          <w:sz w:val="21"/>
          <w:szCs w:val="21"/>
        </w:rPr>
        <w:t>Cognizant</w:t>
      </w:r>
      <w:r w:rsidR="002E30DD" w:rsidRPr="00727DCE">
        <w:rPr>
          <w:b/>
          <w:sz w:val="21"/>
          <w:szCs w:val="21"/>
        </w:rPr>
        <w:t xml:space="preserve"> </w:t>
      </w:r>
      <w:r w:rsidR="002E30DD" w:rsidRPr="00727DCE">
        <w:rPr>
          <w:sz w:val="21"/>
          <w:szCs w:val="21"/>
        </w:rPr>
        <w:t xml:space="preserve">and </w:t>
      </w:r>
      <w:r w:rsidR="002E30DD" w:rsidRPr="00727DCE">
        <w:rPr>
          <w:b/>
          <w:sz w:val="21"/>
          <w:szCs w:val="21"/>
        </w:rPr>
        <w:t>JPMC</w:t>
      </w:r>
      <w:r w:rsidR="002E30DD" w:rsidRPr="00727DCE">
        <w:rPr>
          <w:sz w:val="21"/>
          <w:szCs w:val="21"/>
        </w:rPr>
        <w:t>. Recognized for spearheading impactful training programs and quality assurance initiatives, part</w:t>
      </w:r>
      <w:r w:rsidR="002E30DD" w:rsidRPr="00727DCE">
        <w:rPr>
          <w:sz w:val="21"/>
          <w:szCs w:val="21"/>
        </w:rPr>
        <w:t xml:space="preserve">icularly in </w:t>
      </w:r>
      <w:r w:rsidR="002E30DD" w:rsidRPr="00727DCE">
        <w:rPr>
          <w:b/>
          <w:sz w:val="21"/>
          <w:szCs w:val="21"/>
        </w:rPr>
        <w:t>AML, KYC</w:t>
      </w:r>
      <w:r w:rsidR="002E30DD" w:rsidRPr="00727DCE">
        <w:rPr>
          <w:sz w:val="21"/>
          <w:szCs w:val="21"/>
        </w:rPr>
        <w:t xml:space="preserve">, </w:t>
      </w:r>
      <w:r w:rsidR="002E30DD" w:rsidRPr="00727DCE">
        <w:rPr>
          <w:b/>
          <w:sz w:val="21"/>
          <w:szCs w:val="21"/>
        </w:rPr>
        <w:t>P2P</w:t>
      </w:r>
      <w:r w:rsidR="002E30DD" w:rsidRPr="00727DCE">
        <w:rPr>
          <w:sz w:val="21"/>
          <w:szCs w:val="21"/>
        </w:rPr>
        <w:t xml:space="preserve">, and </w:t>
      </w:r>
      <w:r w:rsidR="002E30DD" w:rsidRPr="00727DCE">
        <w:rPr>
          <w:b/>
          <w:sz w:val="21"/>
          <w:szCs w:val="21"/>
        </w:rPr>
        <w:t>ACH compliance</w:t>
      </w:r>
      <w:r w:rsidR="002E30DD" w:rsidRPr="00727DCE">
        <w:rPr>
          <w:sz w:val="21"/>
          <w:szCs w:val="21"/>
        </w:rPr>
        <w:t>, elevating organizational compliance standards. Possessi</w:t>
      </w:r>
      <w:r w:rsidR="002E30DD" w:rsidRPr="00727DCE">
        <w:rPr>
          <w:sz w:val="21"/>
          <w:szCs w:val="21"/>
        </w:rPr>
        <w:t xml:space="preserve">ng comprehensive expertise in </w:t>
      </w:r>
      <w:r w:rsidR="002E30DD" w:rsidRPr="00727DCE">
        <w:rPr>
          <w:b/>
          <w:sz w:val="21"/>
          <w:szCs w:val="21"/>
        </w:rPr>
        <w:t>Banking &amp; Regulatory</w:t>
      </w:r>
      <w:r w:rsidR="002E30DD" w:rsidRPr="00727DCE">
        <w:rPr>
          <w:sz w:val="21"/>
          <w:szCs w:val="21"/>
        </w:rPr>
        <w:t xml:space="preserve"> </w:t>
      </w:r>
      <w:r w:rsidR="002E30DD" w:rsidRPr="00727DCE">
        <w:rPr>
          <w:b/>
          <w:sz w:val="21"/>
          <w:szCs w:val="21"/>
        </w:rPr>
        <w:t>domains</w:t>
      </w:r>
      <w:r w:rsidR="002E30DD" w:rsidRPr="00727DCE">
        <w:rPr>
          <w:sz w:val="21"/>
          <w:szCs w:val="21"/>
        </w:rPr>
        <w:t>, including a keen understanding of payment fraud nuances and adept sanction screening methodologies. Renowned for proactive collaboration, visionary strategy development, and a steadfast dedic</w:t>
      </w:r>
      <w:r w:rsidR="002E30DD" w:rsidRPr="00727DCE">
        <w:rPr>
          <w:sz w:val="21"/>
          <w:szCs w:val="21"/>
        </w:rPr>
        <w:t xml:space="preserve">ation to pioneering effective </w:t>
      </w:r>
      <w:r w:rsidR="002E30DD" w:rsidRPr="00727DCE">
        <w:rPr>
          <w:b/>
          <w:sz w:val="21"/>
          <w:szCs w:val="21"/>
        </w:rPr>
        <w:t>risk management solutions</w:t>
      </w:r>
      <w:r w:rsidR="002E30DD" w:rsidRPr="00727DCE">
        <w:rPr>
          <w:sz w:val="21"/>
          <w:szCs w:val="21"/>
        </w:rPr>
        <w:t xml:space="preserve"> that resonate in today's dynamic financial landscape.</w:t>
      </w:r>
    </w:p>
    <w:p w:rsidR="00727DCE" w:rsidRDefault="00727DCE" w:rsidP="00727DCE">
      <w:pPr>
        <w:pStyle w:val="Heading2"/>
        <w:tabs>
          <w:tab w:val="center" w:pos="635"/>
          <w:tab w:val="center" w:pos="11520"/>
        </w:tabs>
        <w:ind w:left="0" w:firstLine="0"/>
      </w:pPr>
      <w:r>
        <w:rPr>
          <w:b w:val="0"/>
          <w:sz w:val="20"/>
        </w:rPr>
        <w:t xml:space="preserve">        </w:t>
      </w:r>
      <w:r>
        <w:rPr>
          <w:color w:val="1F487C"/>
          <w:u w:val="single" w:color="000000"/>
        </w:rPr>
        <w:t xml:space="preserve">SKILLS </w:t>
      </w:r>
      <w:r>
        <w:rPr>
          <w:color w:val="1F487C"/>
          <w:u w:val="single" w:color="000000"/>
        </w:rPr>
        <w:tab/>
      </w:r>
      <w:r>
        <w:t xml:space="preserve"> </w:t>
      </w:r>
    </w:p>
    <w:p w:rsidR="00727DCE" w:rsidRDefault="00727DCE" w:rsidP="00727DCE">
      <w:pPr>
        <w:spacing w:after="0"/>
        <w:ind w:left="322" w:right="0" w:firstLine="0"/>
        <w:jc w:val="left"/>
      </w:pPr>
      <w:r>
        <w:rPr>
          <w:b/>
        </w:rPr>
        <w:t xml:space="preserve"> </w:t>
      </w:r>
    </w:p>
    <w:tbl>
      <w:tblPr>
        <w:tblStyle w:val="TableGrid"/>
        <w:tblW w:w="10060" w:type="dxa"/>
        <w:tblInd w:w="576" w:type="dxa"/>
        <w:tblCellMar>
          <w:top w:w="8" w:type="dxa"/>
          <w:left w:w="106" w:type="dxa"/>
          <w:bottom w:w="0" w:type="dxa"/>
          <w:right w:w="84" w:type="dxa"/>
        </w:tblCellMar>
        <w:tblLook w:val="04A0" w:firstRow="1" w:lastRow="0" w:firstColumn="1" w:lastColumn="0" w:noHBand="0" w:noVBand="1"/>
      </w:tblPr>
      <w:tblGrid>
        <w:gridCol w:w="2948"/>
        <w:gridCol w:w="7112"/>
      </w:tblGrid>
      <w:tr w:rsidR="00727DCE" w:rsidTr="00312563">
        <w:trPr>
          <w:trHeight w:val="264"/>
        </w:trPr>
        <w:tc>
          <w:tcPr>
            <w:tcW w:w="2948"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0" w:right="0" w:firstLine="0"/>
              <w:jc w:val="left"/>
              <w:rPr>
                <w:sz w:val="21"/>
                <w:szCs w:val="21"/>
              </w:rPr>
            </w:pPr>
            <w:r w:rsidRPr="00727DCE">
              <w:rPr>
                <w:b/>
                <w:sz w:val="21"/>
                <w:szCs w:val="21"/>
              </w:rPr>
              <w:t xml:space="preserve">Skill Category </w:t>
            </w:r>
          </w:p>
        </w:tc>
        <w:tc>
          <w:tcPr>
            <w:tcW w:w="7112"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5" w:right="0" w:firstLine="0"/>
              <w:jc w:val="left"/>
              <w:rPr>
                <w:sz w:val="21"/>
                <w:szCs w:val="21"/>
              </w:rPr>
            </w:pPr>
            <w:r w:rsidRPr="00727DCE">
              <w:rPr>
                <w:b/>
                <w:sz w:val="21"/>
                <w:szCs w:val="21"/>
              </w:rPr>
              <w:t xml:space="preserve">Specific Skills </w:t>
            </w:r>
          </w:p>
        </w:tc>
      </w:tr>
      <w:tr w:rsidR="00727DCE" w:rsidTr="00312563">
        <w:trPr>
          <w:trHeight w:val="470"/>
        </w:trPr>
        <w:tc>
          <w:tcPr>
            <w:tcW w:w="2948"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0" w:right="0" w:firstLine="0"/>
              <w:jc w:val="left"/>
              <w:rPr>
                <w:sz w:val="21"/>
                <w:szCs w:val="21"/>
              </w:rPr>
            </w:pPr>
            <w:r w:rsidRPr="00727DCE">
              <w:rPr>
                <w:b/>
                <w:sz w:val="21"/>
                <w:szCs w:val="21"/>
              </w:rPr>
              <w:t xml:space="preserve">Investigations &amp; Compliance </w:t>
            </w:r>
          </w:p>
        </w:tc>
        <w:tc>
          <w:tcPr>
            <w:tcW w:w="7112"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5" w:right="0" w:firstLine="0"/>
              <w:jc w:val="left"/>
              <w:rPr>
                <w:sz w:val="21"/>
                <w:szCs w:val="21"/>
              </w:rPr>
            </w:pPr>
            <w:r w:rsidRPr="00727DCE">
              <w:rPr>
                <w:sz w:val="21"/>
                <w:szCs w:val="21"/>
              </w:rPr>
              <w:t xml:space="preserve">OSINT and Fraud Investigation, KYC and AML Compliance, Customer Due </w:t>
            </w:r>
          </w:p>
          <w:p w:rsidR="00727DCE" w:rsidRPr="00727DCE" w:rsidRDefault="00727DCE" w:rsidP="00312563">
            <w:pPr>
              <w:spacing w:after="0"/>
              <w:ind w:left="5" w:right="0" w:firstLine="0"/>
              <w:jc w:val="left"/>
              <w:rPr>
                <w:sz w:val="21"/>
                <w:szCs w:val="21"/>
              </w:rPr>
            </w:pPr>
            <w:r w:rsidRPr="00727DCE">
              <w:rPr>
                <w:sz w:val="21"/>
                <w:szCs w:val="21"/>
              </w:rPr>
              <w:t xml:space="preserve">Diligence, High-Risk KYC Review and Validation, Suspicious Activity Reporting </w:t>
            </w:r>
          </w:p>
        </w:tc>
      </w:tr>
      <w:tr w:rsidR="00727DCE" w:rsidTr="00312563">
        <w:trPr>
          <w:trHeight w:val="471"/>
        </w:trPr>
        <w:tc>
          <w:tcPr>
            <w:tcW w:w="2948"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0" w:right="0" w:firstLine="0"/>
              <w:jc w:val="left"/>
              <w:rPr>
                <w:sz w:val="21"/>
                <w:szCs w:val="21"/>
              </w:rPr>
            </w:pPr>
            <w:r w:rsidRPr="00727DCE">
              <w:rPr>
                <w:b/>
                <w:sz w:val="21"/>
                <w:szCs w:val="21"/>
              </w:rPr>
              <w:t xml:space="preserve">Risk Management </w:t>
            </w:r>
          </w:p>
        </w:tc>
        <w:tc>
          <w:tcPr>
            <w:tcW w:w="7112"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5" w:right="0" w:firstLine="0"/>
              <w:rPr>
                <w:sz w:val="21"/>
                <w:szCs w:val="21"/>
              </w:rPr>
            </w:pPr>
            <w:r w:rsidRPr="00727DCE">
              <w:rPr>
                <w:sz w:val="21"/>
                <w:szCs w:val="21"/>
              </w:rPr>
              <w:t xml:space="preserve">AI-Driven Security Threat Analysis, Risk Assessment and Mitigation, Privacy &amp; Security Risk Analysis, Risk Trend Analysis </w:t>
            </w:r>
          </w:p>
        </w:tc>
      </w:tr>
      <w:tr w:rsidR="00727DCE" w:rsidTr="00312563">
        <w:trPr>
          <w:trHeight w:val="470"/>
        </w:trPr>
        <w:tc>
          <w:tcPr>
            <w:tcW w:w="2948"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0" w:right="0" w:firstLine="0"/>
              <w:jc w:val="left"/>
              <w:rPr>
                <w:sz w:val="21"/>
                <w:szCs w:val="21"/>
              </w:rPr>
            </w:pPr>
            <w:r w:rsidRPr="00727DCE">
              <w:rPr>
                <w:b/>
                <w:sz w:val="21"/>
                <w:szCs w:val="21"/>
              </w:rPr>
              <w:t xml:space="preserve">Financial Analysis &amp; Reporting </w:t>
            </w:r>
          </w:p>
        </w:tc>
        <w:tc>
          <w:tcPr>
            <w:tcW w:w="7112"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5" w:right="0" w:firstLine="0"/>
              <w:jc w:val="left"/>
              <w:rPr>
                <w:sz w:val="21"/>
                <w:szCs w:val="21"/>
              </w:rPr>
            </w:pPr>
            <w:r w:rsidRPr="00727DCE">
              <w:rPr>
                <w:sz w:val="21"/>
                <w:szCs w:val="21"/>
              </w:rPr>
              <w:t xml:space="preserve">Financial Risk Analysis, CTRs Preparation and Compliance, Project Quality Reporting, Sanctions Screening System Usage </w:t>
            </w:r>
          </w:p>
        </w:tc>
      </w:tr>
      <w:tr w:rsidR="00727DCE" w:rsidTr="00312563">
        <w:trPr>
          <w:trHeight w:val="470"/>
        </w:trPr>
        <w:tc>
          <w:tcPr>
            <w:tcW w:w="2948"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0" w:right="0" w:firstLine="0"/>
              <w:jc w:val="left"/>
              <w:rPr>
                <w:sz w:val="21"/>
                <w:szCs w:val="21"/>
              </w:rPr>
            </w:pPr>
            <w:r w:rsidRPr="00727DCE">
              <w:rPr>
                <w:b/>
                <w:sz w:val="21"/>
                <w:szCs w:val="21"/>
              </w:rPr>
              <w:t xml:space="preserve">Operational Excellence </w:t>
            </w:r>
          </w:p>
        </w:tc>
        <w:tc>
          <w:tcPr>
            <w:tcW w:w="7112"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5" w:right="0" w:firstLine="0"/>
              <w:jc w:val="left"/>
              <w:rPr>
                <w:sz w:val="21"/>
                <w:szCs w:val="21"/>
              </w:rPr>
            </w:pPr>
            <w:r w:rsidRPr="00727DCE">
              <w:rPr>
                <w:sz w:val="21"/>
                <w:szCs w:val="21"/>
              </w:rPr>
              <w:t xml:space="preserve">Stakeholder and Law Enforcement Collaboration, Fraud Detection in Online Transactions, Operational Process Enhancement, Security Audit Conducting </w:t>
            </w:r>
          </w:p>
        </w:tc>
      </w:tr>
      <w:tr w:rsidR="00727DCE" w:rsidTr="00312563">
        <w:trPr>
          <w:trHeight w:val="471"/>
        </w:trPr>
        <w:tc>
          <w:tcPr>
            <w:tcW w:w="2948"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0" w:right="0" w:firstLine="0"/>
              <w:jc w:val="left"/>
              <w:rPr>
                <w:sz w:val="21"/>
                <w:szCs w:val="21"/>
              </w:rPr>
            </w:pPr>
            <w:r w:rsidRPr="00727DCE">
              <w:rPr>
                <w:b/>
                <w:sz w:val="21"/>
                <w:szCs w:val="21"/>
              </w:rPr>
              <w:t xml:space="preserve">Technology &amp; Tool Proficiency </w:t>
            </w:r>
          </w:p>
        </w:tc>
        <w:tc>
          <w:tcPr>
            <w:tcW w:w="7112"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5" w:right="0" w:firstLine="0"/>
              <w:jc w:val="left"/>
              <w:rPr>
                <w:sz w:val="21"/>
                <w:szCs w:val="21"/>
              </w:rPr>
            </w:pPr>
            <w:r w:rsidRPr="00727DCE">
              <w:rPr>
                <w:sz w:val="21"/>
                <w:szCs w:val="21"/>
              </w:rPr>
              <w:t xml:space="preserve">Risk Scoring Model Enhancement, OFAC &amp; 314(a) Monitoring, Tool Proficiency (Accurint, etc.) </w:t>
            </w:r>
          </w:p>
        </w:tc>
      </w:tr>
      <w:tr w:rsidR="00727DCE" w:rsidTr="00312563">
        <w:trPr>
          <w:trHeight w:val="470"/>
        </w:trPr>
        <w:tc>
          <w:tcPr>
            <w:tcW w:w="2948"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0" w:right="0" w:firstLine="0"/>
              <w:jc w:val="left"/>
              <w:rPr>
                <w:sz w:val="21"/>
                <w:szCs w:val="21"/>
              </w:rPr>
            </w:pPr>
            <w:r w:rsidRPr="00727DCE">
              <w:rPr>
                <w:b/>
                <w:sz w:val="21"/>
                <w:szCs w:val="21"/>
              </w:rPr>
              <w:t xml:space="preserve">Training &amp; Quality Assurance </w:t>
            </w:r>
          </w:p>
        </w:tc>
        <w:tc>
          <w:tcPr>
            <w:tcW w:w="7112"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5" w:right="0" w:firstLine="0"/>
              <w:jc w:val="left"/>
              <w:rPr>
                <w:sz w:val="21"/>
                <w:szCs w:val="21"/>
              </w:rPr>
            </w:pPr>
            <w:r w:rsidRPr="00727DCE">
              <w:rPr>
                <w:sz w:val="21"/>
                <w:szCs w:val="21"/>
              </w:rPr>
              <w:t xml:space="preserve">Training and Quality Assurance, AML, KYC, P2P, and ACH Compliance Training, Compliance Training Implementation </w:t>
            </w:r>
          </w:p>
        </w:tc>
      </w:tr>
      <w:tr w:rsidR="00727DCE" w:rsidTr="00312563">
        <w:trPr>
          <w:trHeight w:val="470"/>
        </w:trPr>
        <w:tc>
          <w:tcPr>
            <w:tcW w:w="2948"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0" w:right="0" w:firstLine="0"/>
              <w:jc w:val="left"/>
              <w:rPr>
                <w:sz w:val="21"/>
                <w:szCs w:val="21"/>
              </w:rPr>
            </w:pPr>
            <w:r w:rsidRPr="00727DCE">
              <w:rPr>
                <w:b/>
                <w:sz w:val="21"/>
                <w:szCs w:val="21"/>
              </w:rPr>
              <w:t xml:space="preserve">Banking &amp; Regulatory Knowledge </w:t>
            </w:r>
          </w:p>
        </w:tc>
        <w:tc>
          <w:tcPr>
            <w:tcW w:w="7112" w:type="dxa"/>
            <w:tcBorders>
              <w:top w:val="single" w:sz="4" w:space="0" w:color="000000"/>
              <w:left w:val="single" w:sz="4" w:space="0" w:color="000000"/>
              <w:bottom w:val="single" w:sz="4" w:space="0" w:color="000000"/>
              <w:right w:val="single" w:sz="4" w:space="0" w:color="000000"/>
            </w:tcBorders>
          </w:tcPr>
          <w:p w:rsidR="00727DCE" w:rsidRPr="00727DCE" w:rsidRDefault="00727DCE" w:rsidP="00312563">
            <w:pPr>
              <w:spacing w:after="0"/>
              <w:ind w:left="5" w:right="0" w:firstLine="0"/>
              <w:rPr>
                <w:sz w:val="21"/>
                <w:szCs w:val="21"/>
              </w:rPr>
            </w:pPr>
            <w:r w:rsidRPr="00727DCE">
              <w:rPr>
                <w:sz w:val="21"/>
                <w:szCs w:val="21"/>
              </w:rPr>
              <w:t xml:space="preserve">Payment Fraud Experience (Real-Time and CNP), Banking Law and Regulation Knowledge, Watch list and Negative News Screening </w:t>
            </w:r>
          </w:p>
        </w:tc>
      </w:tr>
    </w:tbl>
    <w:p w:rsidR="00727DCE" w:rsidRDefault="00727DCE" w:rsidP="00727DCE">
      <w:pPr>
        <w:spacing w:after="94"/>
        <w:ind w:left="322" w:right="0" w:firstLine="0"/>
        <w:jc w:val="left"/>
      </w:pPr>
      <w:r>
        <w:t xml:space="preserve"> </w:t>
      </w:r>
    </w:p>
    <w:p w:rsidR="00727DCE" w:rsidRPr="00727DCE" w:rsidRDefault="00727DCE" w:rsidP="00727DCE">
      <w:pPr>
        <w:pStyle w:val="Heading2"/>
        <w:tabs>
          <w:tab w:val="center" w:pos="910"/>
          <w:tab w:val="center" w:pos="11520"/>
        </w:tabs>
        <w:spacing w:after="118"/>
        <w:ind w:left="0" w:firstLine="0"/>
        <w:rPr>
          <w:sz w:val="21"/>
          <w:szCs w:val="21"/>
        </w:rPr>
      </w:pPr>
      <w:r>
        <w:rPr>
          <w:rFonts w:ascii="Calibri" w:eastAsia="Calibri" w:hAnsi="Calibri" w:cs="Calibri"/>
          <w:b w:val="0"/>
        </w:rPr>
        <w:tab/>
      </w:r>
      <w:r w:rsidRPr="00727DCE">
        <w:rPr>
          <w:color w:val="1F487C"/>
          <w:sz w:val="21"/>
          <w:szCs w:val="21"/>
          <w:u w:val="single" w:color="000000"/>
        </w:rPr>
        <w:t xml:space="preserve">EDUCATION </w:t>
      </w:r>
      <w:r w:rsidRPr="00727DCE">
        <w:rPr>
          <w:color w:val="1F487C"/>
          <w:sz w:val="21"/>
          <w:szCs w:val="21"/>
          <w:u w:val="single" w:color="000000"/>
        </w:rPr>
        <w:tab/>
      </w:r>
      <w:r w:rsidRPr="00727DCE">
        <w:rPr>
          <w:sz w:val="21"/>
          <w:szCs w:val="21"/>
        </w:rPr>
        <w:t xml:space="preserve"> </w:t>
      </w:r>
    </w:p>
    <w:p w:rsidR="00727DCE" w:rsidRPr="00727DCE" w:rsidRDefault="00727DCE" w:rsidP="00727DCE">
      <w:pPr>
        <w:pStyle w:val="Heading3"/>
        <w:tabs>
          <w:tab w:val="center" w:pos="1968"/>
          <w:tab w:val="center" w:pos="10430"/>
        </w:tabs>
        <w:ind w:left="0" w:firstLine="0"/>
        <w:rPr>
          <w:sz w:val="21"/>
          <w:szCs w:val="21"/>
        </w:rPr>
      </w:pPr>
      <w:r w:rsidRPr="00727DCE">
        <w:rPr>
          <w:rFonts w:ascii="Calibri" w:eastAsia="Calibri" w:hAnsi="Calibri" w:cs="Calibri"/>
          <w:b w:val="0"/>
          <w:sz w:val="21"/>
          <w:szCs w:val="21"/>
        </w:rPr>
        <w:tab/>
      </w:r>
      <w:r w:rsidRPr="00727DCE">
        <w:rPr>
          <w:sz w:val="21"/>
          <w:szCs w:val="21"/>
        </w:rPr>
        <w:t xml:space="preserve">Masters in Engineering Management       </w:t>
      </w:r>
      <w:r w:rsidRPr="00727DCE">
        <w:rPr>
          <w:sz w:val="21"/>
          <w:szCs w:val="21"/>
        </w:rPr>
        <w:tab/>
      </w:r>
      <w:r w:rsidRPr="0054487B">
        <w:rPr>
          <w:sz w:val="21"/>
          <w:szCs w:val="21"/>
        </w:rPr>
        <w:t>May 2023</w:t>
      </w:r>
      <w:r w:rsidRPr="00727DCE">
        <w:rPr>
          <w:sz w:val="21"/>
          <w:szCs w:val="21"/>
        </w:rPr>
        <w:t xml:space="preserve"> </w:t>
      </w:r>
    </w:p>
    <w:p w:rsidR="00727DCE" w:rsidRPr="0054487B" w:rsidRDefault="00727DCE" w:rsidP="00727DCE">
      <w:pPr>
        <w:spacing w:after="0"/>
        <w:ind w:left="221" w:right="0"/>
        <w:jc w:val="left"/>
        <w:rPr>
          <w:b/>
          <w:sz w:val="21"/>
          <w:szCs w:val="21"/>
        </w:rPr>
      </w:pPr>
      <w:r w:rsidRPr="0054487B">
        <w:rPr>
          <w:b/>
          <w:sz w:val="21"/>
          <w:szCs w:val="21"/>
        </w:rPr>
        <w:t xml:space="preserve">  </w:t>
      </w:r>
      <w:r w:rsidRPr="0054487B">
        <w:rPr>
          <w:b/>
          <w:sz w:val="21"/>
          <w:szCs w:val="21"/>
        </w:rPr>
        <w:t xml:space="preserve">Trine University, Indiana    </w:t>
      </w:r>
    </w:p>
    <w:p w:rsidR="00727DCE" w:rsidRPr="0054487B" w:rsidRDefault="00727DCE" w:rsidP="00727DCE">
      <w:pPr>
        <w:spacing w:after="36"/>
        <w:ind w:left="226" w:right="0" w:firstLine="0"/>
        <w:jc w:val="left"/>
        <w:rPr>
          <w:b/>
          <w:sz w:val="21"/>
          <w:szCs w:val="21"/>
        </w:rPr>
      </w:pPr>
      <w:r w:rsidRPr="0054487B">
        <w:rPr>
          <w:b/>
          <w:sz w:val="21"/>
          <w:szCs w:val="21"/>
        </w:rPr>
        <w:t xml:space="preserve"> </w:t>
      </w:r>
    </w:p>
    <w:p w:rsidR="00727DCE" w:rsidRPr="00727DCE" w:rsidRDefault="00727DCE" w:rsidP="00727DCE">
      <w:pPr>
        <w:pStyle w:val="Heading3"/>
        <w:tabs>
          <w:tab w:val="center" w:pos="2985"/>
          <w:tab w:val="center" w:pos="6483"/>
          <w:tab w:val="center" w:pos="7203"/>
          <w:tab w:val="center" w:pos="7923"/>
          <w:tab w:val="center" w:pos="8644"/>
          <w:tab w:val="center" w:pos="10091"/>
        </w:tabs>
        <w:ind w:left="0" w:firstLine="0"/>
        <w:rPr>
          <w:sz w:val="21"/>
          <w:szCs w:val="21"/>
        </w:rPr>
      </w:pPr>
      <w:r w:rsidRPr="0054487B">
        <w:rPr>
          <w:sz w:val="21"/>
          <w:szCs w:val="21"/>
        </w:rPr>
        <w:tab/>
      </w:r>
      <w:r w:rsidRPr="00727DCE">
        <w:rPr>
          <w:sz w:val="21"/>
          <w:szCs w:val="21"/>
        </w:rPr>
        <w:t xml:space="preserve">Bachelors of Technology in Computer Science Engineering </w:t>
      </w:r>
      <w:r w:rsidRPr="00727DCE">
        <w:rPr>
          <w:sz w:val="21"/>
          <w:szCs w:val="21"/>
        </w:rPr>
        <w:tab/>
        <w:t xml:space="preserve"> </w:t>
      </w:r>
      <w:r w:rsidRPr="00727DCE">
        <w:rPr>
          <w:sz w:val="21"/>
          <w:szCs w:val="21"/>
        </w:rPr>
        <w:tab/>
        <w:t xml:space="preserve"> </w:t>
      </w:r>
      <w:r w:rsidRPr="00727DCE">
        <w:rPr>
          <w:sz w:val="21"/>
          <w:szCs w:val="21"/>
        </w:rPr>
        <w:tab/>
        <w:t xml:space="preserve"> </w:t>
      </w:r>
      <w:r w:rsidRPr="00727DCE">
        <w:rPr>
          <w:sz w:val="21"/>
          <w:szCs w:val="21"/>
        </w:rPr>
        <w:tab/>
        <w:t xml:space="preserve"> </w:t>
      </w:r>
      <w:r w:rsidRPr="00727DCE">
        <w:rPr>
          <w:sz w:val="21"/>
          <w:szCs w:val="21"/>
        </w:rPr>
        <w:tab/>
        <w:t xml:space="preserve">          </w:t>
      </w:r>
      <w:r w:rsidR="0054487B">
        <w:rPr>
          <w:sz w:val="21"/>
          <w:szCs w:val="21"/>
        </w:rPr>
        <w:t xml:space="preserve">   </w:t>
      </w:r>
      <w:bookmarkStart w:id="0" w:name="_GoBack"/>
      <w:bookmarkEnd w:id="0"/>
      <w:r w:rsidRPr="0054487B">
        <w:rPr>
          <w:sz w:val="21"/>
          <w:szCs w:val="21"/>
        </w:rPr>
        <w:t>May 2016</w:t>
      </w:r>
      <w:r w:rsidRPr="00727DCE">
        <w:rPr>
          <w:i/>
          <w:sz w:val="21"/>
          <w:szCs w:val="21"/>
        </w:rPr>
        <w:t xml:space="preserve"> </w:t>
      </w:r>
    </w:p>
    <w:p w:rsidR="00727DCE" w:rsidRPr="00727DCE" w:rsidRDefault="00727DCE" w:rsidP="00727DCE">
      <w:pPr>
        <w:ind w:right="191"/>
        <w:rPr>
          <w:sz w:val="21"/>
          <w:szCs w:val="21"/>
        </w:rPr>
      </w:pPr>
      <w:r>
        <w:rPr>
          <w:sz w:val="21"/>
          <w:szCs w:val="21"/>
        </w:rPr>
        <w:t xml:space="preserve"> </w:t>
      </w:r>
      <w:r w:rsidRPr="00727DCE">
        <w:rPr>
          <w:sz w:val="21"/>
          <w:szCs w:val="21"/>
        </w:rPr>
        <w:t xml:space="preserve">Teegala Krishna Reddy Collage of Engineering, Hyderabad  </w:t>
      </w:r>
    </w:p>
    <w:p w:rsidR="00727DCE" w:rsidRPr="00727DCE" w:rsidRDefault="00727DCE" w:rsidP="00727DCE">
      <w:pPr>
        <w:ind w:left="504" w:right="191" w:firstLine="0"/>
        <w:rPr>
          <w:sz w:val="21"/>
          <w:szCs w:val="21"/>
        </w:rPr>
      </w:pPr>
      <w:r w:rsidRPr="00727DCE">
        <w:rPr>
          <w:sz w:val="21"/>
          <w:szCs w:val="21"/>
        </w:rPr>
        <w:t xml:space="preserve"> </w:t>
      </w:r>
    </w:p>
    <w:p w:rsidR="00E55E59" w:rsidRPr="00727DCE" w:rsidRDefault="00727DCE" w:rsidP="00727DCE">
      <w:pPr>
        <w:spacing w:after="13"/>
        <w:ind w:left="0" w:right="0" w:firstLine="0"/>
        <w:jc w:val="left"/>
        <w:rPr>
          <w:sz w:val="21"/>
          <w:szCs w:val="21"/>
        </w:rPr>
      </w:pPr>
      <w:r>
        <w:rPr>
          <w:sz w:val="21"/>
          <w:szCs w:val="21"/>
        </w:rPr>
        <w:t xml:space="preserve">    </w:t>
      </w:r>
      <w:r w:rsidR="00604FA0" w:rsidRPr="00727DCE">
        <w:rPr>
          <w:b/>
          <w:color w:val="1F487C"/>
          <w:sz w:val="21"/>
          <w:szCs w:val="21"/>
        </w:rPr>
        <w:t>W</w:t>
      </w:r>
      <w:r w:rsidR="00604FA0" w:rsidRPr="00727DCE">
        <w:rPr>
          <w:b/>
          <w:color w:val="1F487C"/>
          <w:sz w:val="21"/>
          <w:szCs w:val="21"/>
        </w:rPr>
        <w:t>ORK EXPERINCE</w:t>
      </w:r>
      <w:r w:rsidR="00604FA0" w:rsidRPr="00727DCE">
        <w:rPr>
          <w:b/>
          <w:sz w:val="21"/>
          <w:szCs w:val="21"/>
        </w:rPr>
        <w:t xml:space="preserve"> </w:t>
      </w:r>
    </w:p>
    <w:p w:rsidR="0054487B" w:rsidRDefault="00604FA0" w:rsidP="0054487B">
      <w:pPr>
        <w:spacing w:after="0"/>
        <w:ind w:left="225" w:right="0"/>
        <w:jc w:val="left"/>
        <w:rPr>
          <w:b/>
          <w:sz w:val="21"/>
          <w:szCs w:val="21"/>
        </w:rPr>
      </w:pPr>
      <w:r w:rsidRPr="00727DCE">
        <w:rPr>
          <w:rFonts w:ascii="Calibri" w:eastAsia="Calibri" w:hAnsi="Calibri" w:cs="Calibri"/>
          <w:noProof/>
          <w:sz w:val="21"/>
          <w:szCs w:val="21"/>
        </w:rPr>
        <mc:AlternateContent>
          <mc:Choice Requires="wpg">
            <w:drawing>
              <wp:anchor distT="0" distB="0" distL="114300" distR="114300" simplePos="0" relativeHeight="251659264" behindDoc="0" locked="0" layoutInCell="1" allowOverlap="1">
                <wp:simplePos x="0" y="0"/>
                <wp:positionH relativeFrom="column">
                  <wp:posOffset>149479</wp:posOffset>
                </wp:positionH>
                <wp:positionV relativeFrom="paragraph">
                  <wp:posOffset>678</wp:posOffset>
                </wp:positionV>
                <wp:extent cx="7162800" cy="9525"/>
                <wp:effectExtent l="0" t="0" r="0" b="0"/>
                <wp:wrapNone/>
                <wp:docPr id="5059" name="Group 5059"/>
                <wp:cNvGraphicFramePr/>
                <a:graphic xmlns:a="http://schemas.openxmlformats.org/drawingml/2006/main">
                  <a:graphicData uri="http://schemas.microsoft.com/office/word/2010/wordprocessingGroup">
                    <wpg:wgp>
                      <wpg:cNvGrpSpPr/>
                      <wpg:grpSpPr>
                        <a:xfrm>
                          <a:off x="0" y="0"/>
                          <a:ext cx="7162800" cy="9525"/>
                          <a:chOff x="0" y="0"/>
                          <a:chExt cx="7162800" cy="9525"/>
                        </a:xfrm>
                      </wpg:grpSpPr>
                      <wps:wsp>
                        <wps:cNvPr id="6246" name="Shape 6246"/>
                        <wps:cNvSpPr/>
                        <wps:spPr>
                          <a:xfrm>
                            <a:off x="0" y="0"/>
                            <a:ext cx="7162800" cy="9525"/>
                          </a:xfrm>
                          <a:custGeom>
                            <a:avLst/>
                            <a:gdLst/>
                            <a:ahLst/>
                            <a:cxnLst/>
                            <a:rect l="0" t="0" r="0" b="0"/>
                            <a:pathLst>
                              <a:path w="7162800" h="9525">
                                <a:moveTo>
                                  <a:pt x="0" y="0"/>
                                </a:moveTo>
                                <a:lnTo>
                                  <a:pt x="7162800" y="0"/>
                                </a:lnTo>
                                <a:lnTo>
                                  <a:pt x="7162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59" style="width:564pt;height:0.75pt;position:absolute;z-index:302;mso-position-horizontal-relative:text;mso-position-horizontal:absolute;margin-left:11.77pt;mso-position-vertical-relative:text;margin-top:0.053421pt;" coordsize="71628,95">
                <v:shape id="Shape 6247" style="position:absolute;width:71628;height:95;left:0;top:0;" coordsize="7162800,9525" path="m0,0l7162800,0l7162800,9525l0,9525l0,0">
                  <v:stroke weight="0pt" endcap="flat" joinstyle="miter" miterlimit="10" on="false" color="#000000" opacity="0"/>
                  <v:fill on="true" color="#000000"/>
                </v:shape>
              </v:group>
            </w:pict>
          </mc:Fallback>
        </mc:AlternateContent>
      </w:r>
    </w:p>
    <w:p w:rsidR="00E55E59" w:rsidRPr="0054487B" w:rsidRDefault="00604FA0" w:rsidP="0054487B">
      <w:pPr>
        <w:spacing w:after="0"/>
        <w:ind w:left="225" w:right="0"/>
        <w:jc w:val="left"/>
        <w:rPr>
          <w:b/>
          <w:sz w:val="21"/>
          <w:szCs w:val="21"/>
        </w:rPr>
      </w:pPr>
      <w:r w:rsidRPr="00727DCE">
        <w:rPr>
          <w:b/>
          <w:sz w:val="21"/>
          <w:szCs w:val="21"/>
        </w:rPr>
        <w:t xml:space="preserve">Fraud &amp; OSINT Investigator, Cognizant, Washington, USA  </w:t>
      </w:r>
      <w:r w:rsidRPr="00727DCE">
        <w:rPr>
          <w:b/>
          <w:sz w:val="21"/>
          <w:szCs w:val="21"/>
        </w:rPr>
        <w:t xml:space="preserve">                                                                  </w:t>
      </w:r>
      <w:r w:rsidRPr="0054487B">
        <w:rPr>
          <w:b/>
          <w:sz w:val="21"/>
          <w:szCs w:val="21"/>
        </w:rPr>
        <w:t>May 2023 – Current</w:t>
      </w:r>
      <w:r w:rsidRPr="00727DCE">
        <w:rPr>
          <w:b/>
          <w:sz w:val="21"/>
          <w:szCs w:val="21"/>
        </w:rPr>
        <w:t xml:space="preserve"> </w:t>
      </w:r>
    </w:p>
    <w:p w:rsidR="00E55E59" w:rsidRPr="00727DCE" w:rsidRDefault="00604FA0">
      <w:pPr>
        <w:pStyle w:val="Heading2"/>
        <w:ind w:left="225"/>
        <w:rPr>
          <w:sz w:val="21"/>
          <w:szCs w:val="21"/>
        </w:rPr>
      </w:pPr>
      <w:r w:rsidRPr="00727DCE">
        <w:rPr>
          <w:sz w:val="21"/>
          <w:szCs w:val="21"/>
        </w:rPr>
        <w:t>Cl</w:t>
      </w:r>
      <w:r w:rsidRPr="00727DCE">
        <w:rPr>
          <w:sz w:val="21"/>
          <w:szCs w:val="21"/>
        </w:rPr>
        <w:t>ient: Google</w:t>
      </w:r>
      <w:r w:rsidRPr="00727DCE">
        <w:rPr>
          <w:b w:val="0"/>
          <w:sz w:val="21"/>
          <w:szCs w:val="21"/>
        </w:rPr>
        <w:t xml:space="preserve">                                                                                                                                               </w:t>
      </w:r>
      <w:r w:rsidRPr="00727DCE">
        <w:rPr>
          <w:i/>
          <w:sz w:val="21"/>
          <w:szCs w:val="21"/>
        </w:rPr>
        <w:t xml:space="preserve"> </w:t>
      </w:r>
      <w:r w:rsidRPr="00727DCE">
        <w:rPr>
          <w:i/>
          <w:sz w:val="21"/>
          <w:szCs w:val="21"/>
        </w:rPr>
        <w:t xml:space="preserve"> </w:t>
      </w:r>
    </w:p>
    <w:p w:rsidR="00FA19E4" w:rsidRPr="00727DCE" w:rsidRDefault="00FA19E4">
      <w:pPr>
        <w:numPr>
          <w:ilvl w:val="0"/>
          <w:numId w:val="1"/>
        </w:numPr>
        <w:ind w:right="191" w:hanging="202"/>
        <w:rPr>
          <w:sz w:val="21"/>
          <w:szCs w:val="21"/>
        </w:rPr>
      </w:pPr>
      <w:r w:rsidRPr="00727DCE">
        <w:rPr>
          <w:sz w:val="21"/>
          <w:szCs w:val="21"/>
        </w:rPr>
        <w:t>Developed and implemented metrics to assess analyst efficacy, resulting in automated fraud controls that minimized financial risks and maximized human analyst capacity utilization.</w:t>
      </w:r>
    </w:p>
    <w:p w:rsidR="00FA19E4" w:rsidRPr="00727DCE" w:rsidRDefault="00FA19E4">
      <w:pPr>
        <w:numPr>
          <w:ilvl w:val="0"/>
          <w:numId w:val="1"/>
        </w:numPr>
        <w:ind w:right="191" w:hanging="202"/>
        <w:rPr>
          <w:sz w:val="21"/>
          <w:szCs w:val="21"/>
        </w:rPr>
      </w:pPr>
      <w:r w:rsidRPr="00727DCE">
        <w:rPr>
          <w:sz w:val="21"/>
          <w:szCs w:val="21"/>
        </w:rPr>
        <w:t>Utilized advanced AI tools to predict and assess security threats, resulting in early risk detection and proactive measures to safeguard project assets and data.</w:t>
      </w:r>
    </w:p>
    <w:p w:rsidR="00FA19E4" w:rsidRPr="00727DCE" w:rsidRDefault="00FA19E4">
      <w:pPr>
        <w:numPr>
          <w:ilvl w:val="0"/>
          <w:numId w:val="1"/>
        </w:numPr>
        <w:ind w:right="191" w:hanging="202"/>
        <w:rPr>
          <w:sz w:val="21"/>
          <w:szCs w:val="21"/>
        </w:rPr>
      </w:pPr>
      <w:r w:rsidRPr="00727DCE">
        <w:rPr>
          <w:sz w:val="21"/>
          <w:szCs w:val="21"/>
        </w:rPr>
        <w:t>Rigorously applied KYC and AML standards to project-related financial transactions, ensuring compliance and minimizing financial risks associated with non-compliance and potential money laundering activities.</w:t>
      </w:r>
    </w:p>
    <w:p w:rsidR="00FA19E4" w:rsidRPr="00727DCE" w:rsidRDefault="00FA19E4">
      <w:pPr>
        <w:numPr>
          <w:ilvl w:val="0"/>
          <w:numId w:val="1"/>
        </w:numPr>
        <w:ind w:right="191" w:hanging="202"/>
        <w:rPr>
          <w:sz w:val="21"/>
          <w:szCs w:val="21"/>
        </w:rPr>
      </w:pPr>
      <w:r w:rsidRPr="00727DCE">
        <w:rPr>
          <w:sz w:val="21"/>
          <w:szCs w:val="21"/>
        </w:rPr>
        <w:t>Implemented risk assessment controls resulting in minimal losses (approx. $150,000 on $2.5 billion transactions) and an 80% reduction in account takeovers through strategic account management.</w:t>
      </w:r>
    </w:p>
    <w:p w:rsidR="00FA19E4" w:rsidRPr="00727DCE" w:rsidRDefault="00FA19E4">
      <w:pPr>
        <w:numPr>
          <w:ilvl w:val="0"/>
          <w:numId w:val="1"/>
        </w:numPr>
        <w:ind w:right="191" w:hanging="202"/>
        <w:rPr>
          <w:sz w:val="21"/>
          <w:szCs w:val="21"/>
        </w:rPr>
      </w:pPr>
      <w:r w:rsidRPr="00727DCE">
        <w:rPr>
          <w:sz w:val="21"/>
          <w:szCs w:val="21"/>
        </w:rPr>
        <w:t>Partnered with law enforcement agencies on fraud-related cases, demonstrating commitment to legal and ethical standards while enhancing project security.</w:t>
      </w:r>
    </w:p>
    <w:p w:rsidR="00FA19E4" w:rsidRPr="00727DCE" w:rsidRDefault="00FA19E4">
      <w:pPr>
        <w:numPr>
          <w:ilvl w:val="0"/>
          <w:numId w:val="1"/>
        </w:numPr>
        <w:ind w:right="191" w:hanging="202"/>
        <w:rPr>
          <w:sz w:val="21"/>
          <w:szCs w:val="21"/>
        </w:rPr>
      </w:pPr>
      <w:r w:rsidRPr="00727DCE">
        <w:rPr>
          <w:sz w:val="21"/>
          <w:szCs w:val="21"/>
        </w:rPr>
        <w:t>Reviewed merchant online transactions, maintaining high levels of case volume, fraud loss rates, and customer satisfaction. Continuously sought process improvements for early fraud detection.</w:t>
      </w:r>
    </w:p>
    <w:p w:rsidR="00FA19E4" w:rsidRPr="00727DCE" w:rsidRDefault="00FA19E4">
      <w:pPr>
        <w:numPr>
          <w:ilvl w:val="0"/>
          <w:numId w:val="1"/>
        </w:numPr>
        <w:ind w:right="191" w:hanging="202"/>
        <w:rPr>
          <w:sz w:val="21"/>
          <w:szCs w:val="21"/>
        </w:rPr>
      </w:pPr>
      <w:r w:rsidRPr="00727DCE">
        <w:rPr>
          <w:sz w:val="21"/>
          <w:szCs w:val="21"/>
        </w:rPr>
        <w:t>Collaborated with engineering teams to improve risk scoring models and workflow, contributing to the development of more effective fraud mitigation strategies.</w:t>
      </w:r>
    </w:p>
    <w:p w:rsidR="00FA19E4" w:rsidRPr="00727DCE" w:rsidRDefault="00FA19E4">
      <w:pPr>
        <w:numPr>
          <w:ilvl w:val="0"/>
          <w:numId w:val="1"/>
        </w:numPr>
        <w:ind w:right="191" w:hanging="202"/>
        <w:rPr>
          <w:sz w:val="21"/>
          <w:szCs w:val="21"/>
        </w:rPr>
      </w:pPr>
      <w:r w:rsidRPr="00727DCE">
        <w:rPr>
          <w:sz w:val="21"/>
          <w:szCs w:val="21"/>
        </w:rPr>
        <w:t>Worked closely with internal and external stakeholders, including various departments, financial institutions, law enforcement, and customers. Effectively flagged and investigated activities requiring SAR filings</w:t>
      </w:r>
    </w:p>
    <w:p w:rsidR="00FA19E4" w:rsidRPr="00727DCE" w:rsidRDefault="00FA19E4">
      <w:pPr>
        <w:numPr>
          <w:ilvl w:val="0"/>
          <w:numId w:val="1"/>
        </w:numPr>
        <w:ind w:right="191" w:hanging="202"/>
        <w:rPr>
          <w:sz w:val="21"/>
          <w:szCs w:val="21"/>
        </w:rPr>
      </w:pPr>
      <w:r w:rsidRPr="00727DCE">
        <w:rPr>
          <w:sz w:val="21"/>
          <w:szCs w:val="21"/>
        </w:rPr>
        <w:lastRenderedPageBreak/>
        <w:t>Executed OFAC &amp; 314(a) monitoring processes, prepared and submitted CTRs, and ensured strict adherence to CDD, CIP, and KYC procedures.</w:t>
      </w:r>
    </w:p>
    <w:p w:rsidR="00FA19E4" w:rsidRPr="00727DCE" w:rsidRDefault="00FA19E4">
      <w:pPr>
        <w:numPr>
          <w:ilvl w:val="0"/>
          <w:numId w:val="1"/>
        </w:numPr>
        <w:ind w:right="191" w:hanging="202"/>
        <w:rPr>
          <w:sz w:val="21"/>
          <w:szCs w:val="21"/>
        </w:rPr>
      </w:pPr>
      <w:r w:rsidRPr="00727DCE">
        <w:rPr>
          <w:sz w:val="21"/>
          <w:szCs w:val="21"/>
        </w:rPr>
        <w:t>Conducted on-board training and quality assurance, providing continuous feedback to agents on improvement strategies, ensuring a high standard of performance.</w:t>
      </w:r>
    </w:p>
    <w:p w:rsidR="00E55E59" w:rsidRPr="00727DCE" w:rsidRDefault="00FA19E4">
      <w:pPr>
        <w:numPr>
          <w:ilvl w:val="0"/>
          <w:numId w:val="1"/>
        </w:numPr>
        <w:ind w:right="191" w:hanging="202"/>
        <w:rPr>
          <w:sz w:val="21"/>
          <w:szCs w:val="21"/>
        </w:rPr>
      </w:pPr>
      <w:r w:rsidRPr="00727DCE">
        <w:rPr>
          <w:sz w:val="21"/>
          <w:szCs w:val="21"/>
        </w:rPr>
        <w:t>Managed Google's risk by protecting the company and users from fraudulent activities, including financial payment fraud. Collaborated on beta testing of new tools and processes, contributing to enhanced fraud prevention measures.</w:t>
      </w:r>
    </w:p>
    <w:p w:rsidR="00FA19E4" w:rsidRPr="00727DCE" w:rsidRDefault="00FA19E4">
      <w:pPr>
        <w:pStyle w:val="Heading2"/>
        <w:tabs>
          <w:tab w:val="center" w:pos="2075"/>
          <w:tab w:val="center" w:pos="10593"/>
        </w:tabs>
        <w:ind w:left="0" w:firstLine="0"/>
        <w:rPr>
          <w:rFonts w:ascii="Calibri" w:eastAsia="Calibri" w:hAnsi="Calibri" w:cs="Calibri"/>
          <w:b w:val="0"/>
          <w:sz w:val="21"/>
          <w:szCs w:val="21"/>
        </w:rPr>
      </w:pPr>
    </w:p>
    <w:p w:rsidR="00E55E59" w:rsidRPr="00727DCE" w:rsidRDefault="00604FA0">
      <w:pPr>
        <w:pStyle w:val="Heading2"/>
        <w:tabs>
          <w:tab w:val="center" w:pos="2075"/>
          <w:tab w:val="center" w:pos="10593"/>
        </w:tabs>
        <w:ind w:left="0" w:firstLine="0"/>
        <w:rPr>
          <w:sz w:val="21"/>
          <w:szCs w:val="21"/>
        </w:rPr>
      </w:pPr>
      <w:r w:rsidRPr="00727DCE">
        <w:rPr>
          <w:rFonts w:ascii="Calibri" w:eastAsia="Calibri" w:hAnsi="Calibri" w:cs="Calibri"/>
          <w:b w:val="0"/>
          <w:sz w:val="21"/>
          <w:szCs w:val="21"/>
        </w:rPr>
        <w:tab/>
      </w:r>
      <w:r w:rsidRPr="00727DCE">
        <w:rPr>
          <w:sz w:val="21"/>
          <w:szCs w:val="21"/>
        </w:rPr>
        <w:t>Fraud / Risk Analyst Intern, JPMC, IN</w:t>
      </w:r>
      <w:r w:rsidRPr="00727DCE">
        <w:rPr>
          <w:i/>
          <w:sz w:val="21"/>
          <w:szCs w:val="21"/>
        </w:rPr>
        <w:t xml:space="preserve"> </w:t>
      </w:r>
      <w:r w:rsidRPr="00727DCE">
        <w:rPr>
          <w:i/>
          <w:sz w:val="21"/>
          <w:szCs w:val="21"/>
        </w:rPr>
        <w:tab/>
      </w:r>
      <w:r w:rsidRPr="0054487B">
        <w:rPr>
          <w:sz w:val="21"/>
          <w:szCs w:val="21"/>
        </w:rPr>
        <w:t>Dec 2</w:t>
      </w:r>
      <w:r w:rsidRPr="0054487B">
        <w:rPr>
          <w:sz w:val="21"/>
          <w:szCs w:val="21"/>
        </w:rPr>
        <w:t>022 – Apr 2023</w:t>
      </w:r>
      <w:r w:rsidRPr="00727DCE">
        <w:rPr>
          <w:i/>
          <w:sz w:val="21"/>
          <w:szCs w:val="21"/>
        </w:rPr>
        <w:t xml:space="preserve"> </w:t>
      </w:r>
    </w:p>
    <w:p w:rsidR="00E55E59" w:rsidRPr="00727DCE" w:rsidRDefault="00604FA0">
      <w:pPr>
        <w:numPr>
          <w:ilvl w:val="0"/>
          <w:numId w:val="2"/>
        </w:numPr>
        <w:ind w:right="191" w:hanging="255"/>
        <w:rPr>
          <w:sz w:val="21"/>
          <w:szCs w:val="21"/>
        </w:rPr>
      </w:pPr>
      <w:r w:rsidRPr="00727DCE">
        <w:rPr>
          <w:sz w:val="21"/>
          <w:szCs w:val="21"/>
        </w:rPr>
        <w:t xml:space="preserve">Managed the operational budget effectively, identifying tactical efficiencies and improvements to reduce costs in response to market events. </w:t>
      </w:r>
    </w:p>
    <w:p w:rsidR="00E55E59" w:rsidRPr="00727DCE" w:rsidRDefault="00604FA0">
      <w:pPr>
        <w:numPr>
          <w:ilvl w:val="0"/>
          <w:numId w:val="2"/>
        </w:numPr>
        <w:ind w:right="191" w:hanging="255"/>
        <w:rPr>
          <w:sz w:val="21"/>
          <w:szCs w:val="21"/>
        </w:rPr>
      </w:pPr>
      <w:r w:rsidRPr="00727DCE">
        <w:rPr>
          <w:sz w:val="21"/>
          <w:szCs w:val="21"/>
        </w:rPr>
        <w:t>Maintained accountability for all internal and external relationships related to fraud operations,</w:t>
      </w:r>
      <w:r w:rsidRPr="00727DCE">
        <w:rPr>
          <w:sz w:val="21"/>
          <w:szCs w:val="21"/>
        </w:rPr>
        <w:t xml:space="preserve"> ensuring active participation in benchmarking and best practice awareness. </w:t>
      </w:r>
      <w:r w:rsidR="00FA19E4" w:rsidRPr="00727DCE">
        <w:rPr>
          <w:sz w:val="21"/>
          <w:szCs w:val="21"/>
        </w:rPr>
        <w:t>.</w:t>
      </w:r>
    </w:p>
    <w:p w:rsidR="00FA19E4" w:rsidRPr="00727DCE" w:rsidRDefault="00FA19E4">
      <w:pPr>
        <w:numPr>
          <w:ilvl w:val="0"/>
          <w:numId w:val="2"/>
        </w:numPr>
        <w:ind w:right="191" w:hanging="255"/>
        <w:rPr>
          <w:sz w:val="21"/>
          <w:szCs w:val="21"/>
        </w:rPr>
      </w:pPr>
      <w:r w:rsidRPr="00727DCE">
        <w:rPr>
          <w:sz w:val="21"/>
          <w:szCs w:val="21"/>
        </w:rPr>
        <w:t>Effectively managed the operational budget by identifying tactical efficiencies and implementing improvements, resulting in reduced costs in response to market events while maintaining operational excellence.</w:t>
      </w:r>
    </w:p>
    <w:p w:rsidR="00FA19E4" w:rsidRPr="00727DCE" w:rsidRDefault="00FA19E4">
      <w:pPr>
        <w:numPr>
          <w:ilvl w:val="0"/>
          <w:numId w:val="2"/>
        </w:numPr>
        <w:ind w:right="191" w:hanging="255"/>
        <w:rPr>
          <w:sz w:val="21"/>
          <w:szCs w:val="21"/>
        </w:rPr>
      </w:pPr>
      <w:r w:rsidRPr="00727DCE">
        <w:rPr>
          <w:sz w:val="21"/>
          <w:szCs w:val="21"/>
        </w:rPr>
        <w:t>Maintained accountability for all internal and external relationships in fraud operations, actively participating in benchmarking and best practice awareness initiatives, leading to stronger partnerships and improved operational standards.</w:t>
      </w:r>
    </w:p>
    <w:p w:rsidR="00FA19E4" w:rsidRPr="00727DCE" w:rsidRDefault="00FA19E4">
      <w:pPr>
        <w:numPr>
          <w:ilvl w:val="0"/>
          <w:numId w:val="2"/>
        </w:numPr>
        <w:ind w:right="191" w:hanging="255"/>
        <w:rPr>
          <w:sz w:val="21"/>
          <w:szCs w:val="21"/>
        </w:rPr>
      </w:pPr>
      <w:r w:rsidRPr="00727DCE">
        <w:rPr>
          <w:sz w:val="21"/>
          <w:szCs w:val="21"/>
        </w:rPr>
        <w:t>Oversaw the successful delivery of fraud transformational change initiatives, carefully considering their impact across the enterprise, resulting in streamlined processes and enhanced operational efficiency.</w:t>
      </w:r>
    </w:p>
    <w:p w:rsidR="00FA19E4" w:rsidRPr="00727DCE" w:rsidRDefault="00FA19E4">
      <w:pPr>
        <w:numPr>
          <w:ilvl w:val="0"/>
          <w:numId w:val="2"/>
        </w:numPr>
        <w:ind w:right="191" w:hanging="255"/>
        <w:rPr>
          <w:sz w:val="21"/>
          <w:szCs w:val="21"/>
        </w:rPr>
      </w:pPr>
      <w:r w:rsidRPr="00727DCE">
        <w:rPr>
          <w:sz w:val="21"/>
          <w:szCs w:val="21"/>
        </w:rPr>
        <w:t>Ensured all new and existing processes in fraud operations complied with legal and regulatory requirements, mitigating risks associated with non-compliance and safeguarding the organization's reputation.</w:t>
      </w:r>
    </w:p>
    <w:p w:rsidR="00FA19E4" w:rsidRPr="00727DCE" w:rsidRDefault="00FA19E4">
      <w:pPr>
        <w:numPr>
          <w:ilvl w:val="0"/>
          <w:numId w:val="2"/>
        </w:numPr>
        <w:ind w:right="191" w:hanging="255"/>
        <w:rPr>
          <w:sz w:val="21"/>
          <w:szCs w:val="21"/>
        </w:rPr>
      </w:pPr>
      <w:r w:rsidRPr="00727DCE">
        <w:rPr>
          <w:sz w:val="21"/>
          <w:szCs w:val="21"/>
        </w:rPr>
        <w:t>Fostered an environment of continuous learning by integrating operational insights from performance management information, resulting in improved processes and proactive issue resolution</w:t>
      </w:r>
    </w:p>
    <w:p w:rsidR="00FA19E4" w:rsidRPr="00727DCE" w:rsidRDefault="00FA19E4">
      <w:pPr>
        <w:numPr>
          <w:ilvl w:val="0"/>
          <w:numId w:val="2"/>
        </w:numPr>
        <w:ind w:right="191" w:hanging="255"/>
        <w:rPr>
          <w:sz w:val="21"/>
          <w:szCs w:val="21"/>
        </w:rPr>
      </w:pPr>
      <w:r w:rsidRPr="00727DCE">
        <w:rPr>
          <w:sz w:val="21"/>
          <w:szCs w:val="21"/>
        </w:rPr>
        <w:t>Collaborated with Fraud Strategy to develop loss mitigation strategies that balanced customer experience, participating in benchmarking forums and professional organizations, leading to innovative solutions and improved outcomes.</w:t>
      </w:r>
    </w:p>
    <w:p w:rsidR="00FA19E4" w:rsidRPr="00727DCE" w:rsidRDefault="00FA19E4">
      <w:pPr>
        <w:numPr>
          <w:ilvl w:val="0"/>
          <w:numId w:val="2"/>
        </w:numPr>
        <w:ind w:right="191" w:hanging="255"/>
        <w:rPr>
          <w:sz w:val="21"/>
          <w:szCs w:val="21"/>
        </w:rPr>
      </w:pPr>
      <w:r w:rsidRPr="00727DCE">
        <w:rPr>
          <w:sz w:val="21"/>
          <w:szCs w:val="21"/>
        </w:rPr>
        <w:t>Developed an intimate understanding of business priorities and strategies of supported units, aligning fraud operations strategies with overall risk appetite, revenue targets, and customer experience goals, resulting in improved alignment and strategic direction.</w:t>
      </w:r>
    </w:p>
    <w:p w:rsidR="00FA19E4" w:rsidRPr="00727DCE" w:rsidRDefault="00FA19E4">
      <w:pPr>
        <w:numPr>
          <w:ilvl w:val="0"/>
          <w:numId w:val="2"/>
        </w:numPr>
        <w:ind w:right="191" w:hanging="255"/>
        <w:rPr>
          <w:sz w:val="21"/>
          <w:szCs w:val="21"/>
        </w:rPr>
      </w:pPr>
      <w:r w:rsidRPr="00727DCE">
        <w:rPr>
          <w:sz w:val="21"/>
          <w:szCs w:val="21"/>
        </w:rPr>
        <w:t>Accountable for setting innovative strategic direction across all products and portfolios, ensuring effective risk management and operational excellence, driving growth and profitability while maintaining high standards of integrity and compliance.</w:t>
      </w:r>
    </w:p>
    <w:p w:rsidR="00E55E59" w:rsidRPr="00727DCE" w:rsidRDefault="00604FA0">
      <w:pPr>
        <w:numPr>
          <w:ilvl w:val="0"/>
          <w:numId w:val="2"/>
        </w:numPr>
        <w:ind w:right="191" w:hanging="255"/>
        <w:rPr>
          <w:sz w:val="21"/>
          <w:szCs w:val="21"/>
        </w:rPr>
      </w:pPr>
      <w:r w:rsidRPr="00727DCE">
        <w:rPr>
          <w:sz w:val="21"/>
          <w:szCs w:val="21"/>
        </w:rPr>
        <w:t xml:space="preserve">Oversaw the successful delivery of fraud transformational change, carefully considering its impact across the enterprise. </w:t>
      </w:r>
    </w:p>
    <w:p w:rsidR="00E55E59" w:rsidRPr="00727DCE" w:rsidRDefault="00604FA0" w:rsidP="00FA19E4">
      <w:pPr>
        <w:numPr>
          <w:ilvl w:val="0"/>
          <w:numId w:val="2"/>
        </w:numPr>
        <w:ind w:right="191" w:hanging="255"/>
        <w:rPr>
          <w:sz w:val="21"/>
          <w:szCs w:val="21"/>
        </w:rPr>
      </w:pPr>
      <w:r w:rsidRPr="00727DCE">
        <w:rPr>
          <w:sz w:val="21"/>
          <w:szCs w:val="21"/>
        </w:rPr>
        <w:t>Ensured that all new and existing processes in fraud ope</w:t>
      </w:r>
      <w:r w:rsidRPr="00727DCE">
        <w:rPr>
          <w:sz w:val="21"/>
          <w:szCs w:val="21"/>
        </w:rPr>
        <w:t>rations complied with leg</w:t>
      </w:r>
      <w:r w:rsidR="00FA19E4" w:rsidRPr="00727DCE">
        <w:rPr>
          <w:sz w:val="21"/>
          <w:szCs w:val="21"/>
        </w:rPr>
        <w:t>al and regulatory requirements.</w:t>
      </w:r>
    </w:p>
    <w:p w:rsidR="0054487B" w:rsidRDefault="0054487B" w:rsidP="00FA19E4">
      <w:pPr>
        <w:pStyle w:val="Heading2"/>
        <w:ind w:left="225"/>
        <w:rPr>
          <w:sz w:val="21"/>
          <w:szCs w:val="21"/>
        </w:rPr>
      </w:pPr>
    </w:p>
    <w:p w:rsidR="00E55E59" w:rsidRPr="00727DCE" w:rsidRDefault="00604FA0" w:rsidP="00FA19E4">
      <w:pPr>
        <w:pStyle w:val="Heading2"/>
        <w:ind w:left="225"/>
        <w:rPr>
          <w:sz w:val="21"/>
          <w:szCs w:val="21"/>
        </w:rPr>
      </w:pPr>
      <w:r w:rsidRPr="00727DCE">
        <w:rPr>
          <w:sz w:val="21"/>
          <w:szCs w:val="21"/>
        </w:rPr>
        <w:t xml:space="preserve">Quality &amp; Training Lead, Cognizant, (HYD&amp;BLR) India, KL Malaysia    </w:t>
      </w:r>
      <w:r w:rsidRPr="00727DCE">
        <w:rPr>
          <w:sz w:val="21"/>
          <w:szCs w:val="21"/>
        </w:rPr>
        <w:tab/>
        <w:t xml:space="preserve"> </w:t>
      </w:r>
      <w:r w:rsidRPr="00727DCE">
        <w:rPr>
          <w:sz w:val="21"/>
          <w:szCs w:val="21"/>
        </w:rPr>
        <w:tab/>
        <w:t xml:space="preserve"> </w:t>
      </w:r>
      <w:r w:rsidRPr="00727DCE">
        <w:rPr>
          <w:sz w:val="21"/>
          <w:szCs w:val="21"/>
        </w:rPr>
        <w:tab/>
        <w:t xml:space="preserve">  </w:t>
      </w:r>
      <w:r w:rsidR="0054487B">
        <w:rPr>
          <w:sz w:val="21"/>
          <w:szCs w:val="21"/>
        </w:rPr>
        <w:t xml:space="preserve">            </w:t>
      </w:r>
      <w:r w:rsidRPr="00727DCE">
        <w:rPr>
          <w:sz w:val="21"/>
          <w:szCs w:val="21"/>
        </w:rPr>
        <w:t xml:space="preserve"> Jun 2019 – Dec 2021 </w:t>
      </w:r>
      <w:r w:rsidR="0054487B">
        <w:rPr>
          <w:sz w:val="21"/>
          <w:szCs w:val="21"/>
        </w:rPr>
        <w:t xml:space="preserve">   </w:t>
      </w:r>
      <w:r w:rsidRPr="00727DCE">
        <w:rPr>
          <w:sz w:val="21"/>
          <w:szCs w:val="21"/>
        </w:rPr>
        <w:t xml:space="preserve">Client: Google </w:t>
      </w:r>
      <w:r w:rsidRPr="00727DCE">
        <w:rPr>
          <w:sz w:val="21"/>
          <w:szCs w:val="21"/>
        </w:rPr>
        <w:tab/>
      </w:r>
      <w:r w:rsidRPr="00727DCE">
        <w:rPr>
          <w:rFonts w:ascii="Arial" w:eastAsia="Arial" w:hAnsi="Arial" w:cs="Arial"/>
          <w:sz w:val="21"/>
          <w:szCs w:val="21"/>
        </w:rPr>
        <w:t xml:space="preserve"> </w:t>
      </w:r>
      <w:r w:rsidRPr="00727DCE">
        <w:rPr>
          <w:rFonts w:ascii="Arial" w:eastAsia="Arial" w:hAnsi="Arial" w:cs="Arial"/>
          <w:sz w:val="21"/>
          <w:szCs w:val="21"/>
        </w:rPr>
        <w:tab/>
        <w:t xml:space="preserve"> </w:t>
      </w:r>
      <w:r w:rsidRPr="00727DCE">
        <w:rPr>
          <w:rFonts w:ascii="Arial" w:eastAsia="Arial" w:hAnsi="Arial" w:cs="Arial"/>
          <w:sz w:val="21"/>
          <w:szCs w:val="21"/>
        </w:rPr>
        <w:tab/>
        <w:t xml:space="preserve"> </w:t>
      </w:r>
      <w:r w:rsidRPr="00727DCE">
        <w:rPr>
          <w:rFonts w:ascii="Arial" w:eastAsia="Arial" w:hAnsi="Arial" w:cs="Arial"/>
          <w:sz w:val="21"/>
          <w:szCs w:val="21"/>
        </w:rPr>
        <w:tab/>
        <w:t xml:space="preserve"> </w:t>
      </w:r>
      <w:r w:rsidRPr="00727DCE">
        <w:rPr>
          <w:rFonts w:ascii="Arial" w:eastAsia="Arial" w:hAnsi="Arial" w:cs="Arial"/>
          <w:sz w:val="21"/>
          <w:szCs w:val="21"/>
        </w:rPr>
        <w:tab/>
        <w:t xml:space="preserve"> </w:t>
      </w:r>
      <w:r w:rsidRPr="00727DCE">
        <w:rPr>
          <w:rFonts w:ascii="Arial" w:eastAsia="Arial" w:hAnsi="Arial" w:cs="Arial"/>
          <w:sz w:val="21"/>
          <w:szCs w:val="21"/>
        </w:rPr>
        <w:tab/>
        <w:t xml:space="preserve"> </w:t>
      </w:r>
      <w:r w:rsidRPr="00727DCE">
        <w:rPr>
          <w:rFonts w:ascii="Arial" w:eastAsia="Arial" w:hAnsi="Arial" w:cs="Arial"/>
          <w:sz w:val="21"/>
          <w:szCs w:val="21"/>
        </w:rPr>
        <w:tab/>
        <w:t xml:space="preserve"> </w:t>
      </w:r>
      <w:r w:rsidRPr="00727DCE">
        <w:rPr>
          <w:rFonts w:ascii="Arial" w:eastAsia="Arial" w:hAnsi="Arial" w:cs="Arial"/>
          <w:sz w:val="21"/>
          <w:szCs w:val="21"/>
        </w:rPr>
        <w:tab/>
        <w:t xml:space="preserve"> </w:t>
      </w:r>
      <w:r w:rsidRPr="00727DCE">
        <w:rPr>
          <w:rFonts w:ascii="Arial" w:eastAsia="Arial" w:hAnsi="Arial" w:cs="Arial"/>
          <w:sz w:val="21"/>
          <w:szCs w:val="21"/>
        </w:rPr>
        <w:tab/>
        <w:t xml:space="preserve"> </w:t>
      </w:r>
      <w:r w:rsidRPr="00727DCE">
        <w:rPr>
          <w:rFonts w:ascii="Arial" w:eastAsia="Arial" w:hAnsi="Arial" w:cs="Arial"/>
          <w:sz w:val="21"/>
          <w:szCs w:val="21"/>
        </w:rPr>
        <w:tab/>
        <w:t xml:space="preserve"> </w:t>
      </w:r>
      <w:r w:rsidRPr="00727DCE">
        <w:rPr>
          <w:rFonts w:ascii="Arial" w:eastAsia="Arial" w:hAnsi="Arial" w:cs="Arial"/>
          <w:sz w:val="21"/>
          <w:szCs w:val="21"/>
        </w:rPr>
        <w:tab/>
        <w:t xml:space="preserve">         </w:t>
      </w:r>
    </w:p>
    <w:p w:rsidR="00FA19E4" w:rsidRPr="00727DCE" w:rsidRDefault="00FA19E4">
      <w:pPr>
        <w:numPr>
          <w:ilvl w:val="0"/>
          <w:numId w:val="3"/>
        </w:numPr>
        <w:ind w:right="191" w:hanging="202"/>
        <w:rPr>
          <w:sz w:val="21"/>
          <w:szCs w:val="21"/>
        </w:rPr>
      </w:pPr>
      <w:r w:rsidRPr="00727DCE">
        <w:rPr>
          <w:sz w:val="21"/>
          <w:szCs w:val="21"/>
        </w:rPr>
        <w:t>Led training programs for financial risk analysts, resulting in enhanced skills and knowledge, ultimately improving team performance and productivity.</w:t>
      </w:r>
    </w:p>
    <w:p w:rsidR="00FA19E4" w:rsidRPr="00727DCE" w:rsidRDefault="00FA19E4">
      <w:pPr>
        <w:numPr>
          <w:ilvl w:val="0"/>
          <w:numId w:val="3"/>
        </w:numPr>
        <w:ind w:right="191" w:hanging="202"/>
        <w:rPr>
          <w:sz w:val="21"/>
          <w:szCs w:val="21"/>
        </w:rPr>
      </w:pPr>
      <w:r w:rsidRPr="00727DCE">
        <w:rPr>
          <w:sz w:val="21"/>
          <w:szCs w:val="21"/>
        </w:rPr>
        <w:t>Ensured high-quality risk analysis and fraud detection through the establishment and maintenance of stringent quality standards and processes, leading to improved fraud detection rates and risk mitigation</w:t>
      </w:r>
    </w:p>
    <w:p w:rsidR="00FA19E4" w:rsidRPr="00727DCE" w:rsidRDefault="00FA19E4">
      <w:pPr>
        <w:numPr>
          <w:ilvl w:val="0"/>
          <w:numId w:val="3"/>
        </w:numPr>
        <w:ind w:right="191" w:hanging="202"/>
        <w:rPr>
          <w:sz w:val="21"/>
          <w:szCs w:val="21"/>
        </w:rPr>
      </w:pPr>
      <w:r w:rsidRPr="00727DCE">
        <w:rPr>
          <w:sz w:val="21"/>
          <w:szCs w:val="21"/>
        </w:rPr>
        <w:t>Successfully identified and analyzed transaction fraud trends within the Google Pay platform, leading to the development and implementation of effective mitigation plans, enhancing platform security and user trust.</w:t>
      </w:r>
    </w:p>
    <w:p w:rsidR="00FA19E4" w:rsidRPr="00727DCE" w:rsidRDefault="00FA19E4">
      <w:pPr>
        <w:numPr>
          <w:ilvl w:val="0"/>
          <w:numId w:val="3"/>
        </w:numPr>
        <w:ind w:right="191" w:hanging="202"/>
        <w:rPr>
          <w:sz w:val="21"/>
          <w:szCs w:val="21"/>
        </w:rPr>
      </w:pPr>
      <w:r w:rsidRPr="00727DCE">
        <w:rPr>
          <w:sz w:val="21"/>
          <w:szCs w:val="21"/>
        </w:rPr>
        <w:t>Provided comprehensive training in AML, KYC, P2P, and ACH compliance, fostering a compliant and knowledgeable team, reducing compliance-related risks and ensuring regulatory adherence.</w:t>
      </w:r>
    </w:p>
    <w:p w:rsidR="00FA19E4" w:rsidRPr="00727DCE" w:rsidRDefault="00FA19E4">
      <w:pPr>
        <w:numPr>
          <w:ilvl w:val="0"/>
          <w:numId w:val="3"/>
        </w:numPr>
        <w:ind w:right="191" w:hanging="202"/>
        <w:rPr>
          <w:sz w:val="21"/>
          <w:szCs w:val="21"/>
        </w:rPr>
      </w:pPr>
      <w:r w:rsidRPr="00727DCE">
        <w:rPr>
          <w:sz w:val="21"/>
          <w:szCs w:val="21"/>
        </w:rPr>
        <w:t>Developed and implemented strategies to reduce online transaction fraud, resulting in a more secure Google Pay platform for users, enhancing customer satisfaction and trust.</w:t>
      </w:r>
    </w:p>
    <w:p w:rsidR="00FA19E4" w:rsidRPr="00727DCE" w:rsidRDefault="00FA19E4">
      <w:pPr>
        <w:numPr>
          <w:ilvl w:val="0"/>
          <w:numId w:val="3"/>
        </w:numPr>
        <w:ind w:right="191" w:hanging="202"/>
        <w:rPr>
          <w:sz w:val="21"/>
          <w:szCs w:val="21"/>
        </w:rPr>
      </w:pPr>
      <w:r w:rsidRPr="00727DCE">
        <w:rPr>
          <w:sz w:val="21"/>
          <w:szCs w:val="21"/>
        </w:rPr>
        <w:t>Proficiently utilized tools like Accurint for risk assessment and decision-making, improving the accuracy of fraud detection and enabling more informed risk management strategies.</w:t>
      </w:r>
    </w:p>
    <w:p w:rsidR="00FA19E4" w:rsidRPr="00727DCE" w:rsidRDefault="00FA19E4">
      <w:pPr>
        <w:numPr>
          <w:ilvl w:val="0"/>
          <w:numId w:val="3"/>
        </w:numPr>
        <w:ind w:right="191" w:hanging="202"/>
        <w:rPr>
          <w:sz w:val="21"/>
          <w:szCs w:val="21"/>
        </w:rPr>
      </w:pPr>
      <w:r w:rsidRPr="00727DCE">
        <w:rPr>
          <w:sz w:val="21"/>
          <w:szCs w:val="21"/>
        </w:rPr>
        <w:t>Presented project quality updates biweekly and monthly to stakeholders, effectively communicating project progress and areas for improvement, ensuring transparency and alignment with project objectives.</w:t>
      </w:r>
    </w:p>
    <w:p w:rsidR="00FA19E4" w:rsidRPr="00727DCE" w:rsidRDefault="00FA19E4">
      <w:pPr>
        <w:numPr>
          <w:ilvl w:val="0"/>
          <w:numId w:val="3"/>
        </w:numPr>
        <w:ind w:right="191" w:hanging="202"/>
        <w:rPr>
          <w:sz w:val="21"/>
          <w:szCs w:val="21"/>
        </w:rPr>
      </w:pPr>
      <w:r w:rsidRPr="00727DCE">
        <w:rPr>
          <w:sz w:val="21"/>
          <w:szCs w:val="21"/>
        </w:rPr>
        <w:t>Introduced and implemented process enhancements, including streamlining inter-processing tools, driving operational efficiency within the team, reducing operational costs, and improving productivity.</w:t>
      </w:r>
    </w:p>
    <w:p w:rsidR="00CF705A" w:rsidRPr="00727DCE" w:rsidRDefault="00CF705A">
      <w:pPr>
        <w:pStyle w:val="Heading2"/>
        <w:tabs>
          <w:tab w:val="center" w:pos="5762"/>
          <w:tab w:val="center" w:pos="6483"/>
          <w:tab w:val="center" w:pos="7203"/>
          <w:tab w:val="center" w:pos="7923"/>
          <w:tab w:val="center" w:pos="8644"/>
          <w:tab w:val="right" w:pos="11769"/>
        </w:tabs>
        <w:ind w:left="0" w:firstLine="0"/>
        <w:rPr>
          <w:rFonts w:ascii="Arial" w:eastAsia="Arial" w:hAnsi="Arial" w:cs="Arial"/>
          <w:b w:val="0"/>
          <w:color w:val="365F91"/>
          <w:sz w:val="21"/>
          <w:szCs w:val="21"/>
        </w:rPr>
      </w:pPr>
    </w:p>
    <w:p w:rsidR="00E55E59" w:rsidRPr="00727DCE" w:rsidRDefault="00CF705A">
      <w:pPr>
        <w:pStyle w:val="Heading2"/>
        <w:tabs>
          <w:tab w:val="center" w:pos="5762"/>
          <w:tab w:val="center" w:pos="6483"/>
          <w:tab w:val="center" w:pos="7203"/>
          <w:tab w:val="center" w:pos="7923"/>
          <w:tab w:val="center" w:pos="8644"/>
          <w:tab w:val="right" w:pos="11769"/>
        </w:tabs>
        <w:ind w:left="0" w:firstLine="0"/>
        <w:rPr>
          <w:sz w:val="21"/>
          <w:szCs w:val="21"/>
        </w:rPr>
      </w:pPr>
      <w:r w:rsidRPr="00727DCE">
        <w:rPr>
          <w:rFonts w:ascii="Arial" w:eastAsia="Arial" w:hAnsi="Arial" w:cs="Arial"/>
          <w:b w:val="0"/>
          <w:color w:val="365F91"/>
          <w:sz w:val="21"/>
          <w:szCs w:val="21"/>
        </w:rPr>
        <w:t xml:space="preserve">    </w:t>
      </w:r>
      <w:r w:rsidR="00604FA0" w:rsidRPr="00727DCE">
        <w:rPr>
          <w:rFonts w:ascii="Arial" w:eastAsia="Arial" w:hAnsi="Arial" w:cs="Arial"/>
          <w:b w:val="0"/>
          <w:color w:val="365F91"/>
          <w:sz w:val="21"/>
          <w:szCs w:val="21"/>
        </w:rPr>
        <w:t xml:space="preserve">  </w:t>
      </w:r>
      <w:r w:rsidR="00604FA0" w:rsidRPr="00727DCE">
        <w:rPr>
          <w:sz w:val="21"/>
          <w:szCs w:val="21"/>
        </w:rPr>
        <w:t>CDD, EDD&amp;GSDD Analyst, HSBC, Hyderabad, India</w:t>
      </w:r>
      <w:r w:rsidR="00604FA0" w:rsidRPr="00727DCE">
        <w:rPr>
          <w:rFonts w:ascii="Arial" w:eastAsia="Arial" w:hAnsi="Arial" w:cs="Arial"/>
          <w:sz w:val="21"/>
          <w:szCs w:val="21"/>
        </w:rPr>
        <w:t xml:space="preserve"> </w:t>
      </w:r>
      <w:r w:rsidR="00604FA0" w:rsidRPr="00727DCE">
        <w:rPr>
          <w:rFonts w:ascii="Arial" w:eastAsia="Arial" w:hAnsi="Arial" w:cs="Arial"/>
          <w:sz w:val="21"/>
          <w:szCs w:val="21"/>
        </w:rPr>
        <w:tab/>
        <w:t xml:space="preserve"> </w:t>
      </w:r>
      <w:r w:rsidR="00604FA0" w:rsidRPr="00727DCE">
        <w:rPr>
          <w:rFonts w:ascii="Arial" w:eastAsia="Arial" w:hAnsi="Arial" w:cs="Arial"/>
          <w:sz w:val="21"/>
          <w:szCs w:val="21"/>
        </w:rPr>
        <w:tab/>
        <w:t xml:space="preserve"> </w:t>
      </w:r>
      <w:r w:rsidR="00604FA0" w:rsidRPr="00727DCE">
        <w:rPr>
          <w:rFonts w:ascii="Arial" w:eastAsia="Arial" w:hAnsi="Arial" w:cs="Arial"/>
          <w:sz w:val="21"/>
          <w:szCs w:val="21"/>
        </w:rPr>
        <w:tab/>
        <w:t xml:space="preserve"> </w:t>
      </w:r>
      <w:r w:rsidR="00604FA0" w:rsidRPr="00727DCE">
        <w:rPr>
          <w:rFonts w:ascii="Arial" w:eastAsia="Arial" w:hAnsi="Arial" w:cs="Arial"/>
          <w:sz w:val="21"/>
          <w:szCs w:val="21"/>
        </w:rPr>
        <w:tab/>
        <w:t xml:space="preserve"> </w:t>
      </w:r>
      <w:r w:rsidR="00604FA0" w:rsidRPr="00727DCE">
        <w:rPr>
          <w:rFonts w:ascii="Arial" w:eastAsia="Arial" w:hAnsi="Arial" w:cs="Arial"/>
          <w:sz w:val="21"/>
          <w:szCs w:val="21"/>
        </w:rPr>
        <w:tab/>
        <w:t xml:space="preserve"> </w:t>
      </w:r>
      <w:r w:rsidR="00604FA0" w:rsidRPr="00727DCE">
        <w:rPr>
          <w:rFonts w:ascii="Arial" w:eastAsia="Arial" w:hAnsi="Arial" w:cs="Arial"/>
          <w:sz w:val="21"/>
          <w:szCs w:val="21"/>
        </w:rPr>
        <w:tab/>
      </w:r>
      <w:r w:rsidR="00604FA0" w:rsidRPr="00727DCE">
        <w:rPr>
          <w:i/>
          <w:sz w:val="21"/>
          <w:szCs w:val="21"/>
        </w:rPr>
        <w:t xml:space="preserve">         </w:t>
      </w:r>
      <w:r w:rsidR="00604FA0" w:rsidRPr="0054487B">
        <w:rPr>
          <w:sz w:val="21"/>
          <w:szCs w:val="21"/>
        </w:rPr>
        <w:t>Jan 2019 – Jun 2019</w:t>
      </w:r>
      <w:r w:rsidR="00604FA0" w:rsidRPr="00727DCE">
        <w:rPr>
          <w:i/>
          <w:sz w:val="21"/>
          <w:szCs w:val="21"/>
        </w:rPr>
        <w:t xml:space="preserve"> </w:t>
      </w:r>
    </w:p>
    <w:p w:rsidR="00FA19E4" w:rsidRPr="00727DCE" w:rsidRDefault="00FA19E4">
      <w:pPr>
        <w:numPr>
          <w:ilvl w:val="0"/>
          <w:numId w:val="4"/>
        </w:numPr>
        <w:ind w:right="191" w:hanging="202"/>
        <w:rPr>
          <w:sz w:val="21"/>
          <w:szCs w:val="21"/>
        </w:rPr>
      </w:pPr>
      <w:r w:rsidRPr="00727DCE">
        <w:rPr>
          <w:sz w:val="21"/>
          <w:szCs w:val="21"/>
        </w:rPr>
        <w:t>Reviewed and validated High-Risk KYC files to ensure completeness and compliance with Bank policies and Regulatory Requirements, mitigating compliance risks and maintaining regulatory adherence.</w:t>
      </w:r>
    </w:p>
    <w:p w:rsidR="00FA19E4" w:rsidRPr="00727DCE" w:rsidRDefault="00FA19E4">
      <w:pPr>
        <w:numPr>
          <w:ilvl w:val="0"/>
          <w:numId w:val="4"/>
        </w:numPr>
        <w:ind w:right="191" w:hanging="202"/>
        <w:rPr>
          <w:sz w:val="21"/>
          <w:szCs w:val="21"/>
        </w:rPr>
      </w:pPr>
      <w:r w:rsidRPr="00727DCE">
        <w:rPr>
          <w:sz w:val="21"/>
          <w:szCs w:val="21"/>
        </w:rPr>
        <w:t xml:space="preserve">Conducted thorough CDD and EDD on prospective </w:t>
      </w:r>
      <w:r w:rsidR="00CF705A" w:rsidRPr="00727DCE">
        <w:rPr>
          <w:sz w:val="21"/>
          <w:szCs w:val="21"/>
        </w:rPr>
        <w:t>customer’s</w:t>
      </w:r>
      <w:r w:rsidRPr="00727DCE">
        <w:rPr>
          <w:sz w:val="21"/>
          <w:szCs w:val="21"/>
        </w:rPr>
        <w:t xml:space="preserve"> onboarded to HSBC's U.S. and non-U.S. subsidiaries, ensuring comprehensive risk assessments and regulatory compliance.</w:t>
      </w:r>
    </w:p>
    <w:p w:rsidR="00FA19E4" w:rsidRPr="00727DCE" w:rsidRDefault="00FA19E4">
      <w:pPr>
        <w:numPr>
          <w:ilvl w:val="0"/>
          <w:numId w:val="4"/>
        </w:numPr>
        <w:ind w:right="191" w:hanging="202"/>
        <w:rPr>
          <w:sz w:val="21"/>
          <w:szCs w:val="21"/>
        </w:rPr>
      </w:pPr>
      <w:r w:rsidRPr="00727DCE">
        <w:rPr>
          <w:sz w:val="21"/>
          <w:szCs w:val="21"/>
        </w:rPr>
        <w:t>Conducted KYC analysis and risk profiles for Politically Exposed Persons (PEPs) in accordance with policies and procedures, minimizing exposure to potential financial crimes and regulatory violations.</w:t>
      </w:r>
    </w:p>
    <w:p w:rsidR="00FA19E4" w:rsidRPr="00727DCE" w:rsidRDefault="00FA19E4">
      <w:pPr>
        <w:numPr>
          <w:ilvl w:val="0"/>
          <w:numId w:val="4"/>
        </w:numPr>
        <w:ind w:right="191" w:hanging="202"/>
        <w:rPr>
          <w:sz w:val="21"/>
          <w:szCs w:val="21"/>
        </w:rPr>
      </w:pPr>
      <w:r w:rsidRPr="00727DCE">
        <w:rPr>
          <w:sz w:val="21"/>
          <w:szCs w:val="21"/>
        </w:rPr>
        <w:t>Ensured regional KYC standards are met by coordinating with regional Compliance leads, fostering consistency and alignment across the organization and enhancing compliance effectiveness.</w:t>
      </w:r>
    </w:p>
    <w:p w:rsidR="00FA19E4" w:rsidRPr="00727DCE" w:rsidRDefault="00FA19E4">
      <w:pPr>
        <w:numPr>
          <w:ilvl w:val="0"/>
          <w:numId w:val="4"/>
        </w:numPr>
        <w:ind w:right="191" w:hanging="202"/>
        <w:rPr>
          <w:sz w:val="21"/>
          <w:szCs w:val="21"/>
        </w:rPr>
      </w:pPr>
      <w:r w:rsidRPr="00727DCE">
        <w:rPr>
          <w:sz w:val="21"/>
          <w:szCs w:val="21"/>
        </w:rPr>
        <w:t xml:space="preserve">Conducted </w:t>
      </w:r>
      <w:r w:rsidR="00CF705A" w:rsidRPr="00727DCE">
        <w:rPr>
          <w:sz w:val="21"/>
          <w:szCs w:val="21"/>
        </w:rPr>
        <w:t>watch list</w:t>
      </w:r>
      <w:r w:rsidRPr="00727DCE">
        <w:rPr>
          <w:sz w:val="21"/>
          <w:szCs w:val="21"/>
        </w:rPr>
        <w:t xml:space="preserve"> and negative news screening, promptly escalating any items requiring additional attention, enhancing risk detection and mitigation capabilities.</w:t>
      </w:r>
    </w:p>
    <w:p w:rsidR="00FA19E4" w:rsidRPr="00727DCE" w:rsidRDefault="00FA19E4">
      <w:pPr>
        <w:numPr>
          <w:ilvl w:val="0"/>
          <w:numId w:val="4"/>
        </w:numPr>
        <w:ind w:right="191" w:hanging="202"/>
        <w:rPr>
          <w:sz w:val="21"/>
          <w:szCs w:val="21"/>
        </w:rPr>
      </w:pPr>
      <w:r w:rsidRPr="00727DCE">
        <w:rPr>
          <w:sz w:val="21"/>
          <w:szCs w:val="21"/>
        </w:rPr>
        <w:lastRenderedPageBreak/>
        <w:t>Collected, synthesized, and analyzed data from multiple sources, including publicly available databases and websites, enabling informed decision-making and proactive risk management strategies.</w:t>
      </w:r>
    </w:p>
    <w:p w:rsidR="00FA19E4" w:rsidRPr="00727DCE" w:rsidRDefault="00FA19E4">
      <w:pPr>
        <w:numPr>
          <w:ilvl w:val="0"/>
          <w:numId w:val="4"/>
        </w:numPr>
        <w:ind w:right="191" w:hanging="202"/>
        <w:rPr>
          <w:sz w:val="21"/>
          <w:szCs w:val="21"/>
        </w:rPr>
      </w:pPr>
      <w:r w:rsidRPr="00727DCE">
        <w:rPr>
          <w:sz w:val="21"/>
          <w:szCs w:val="21"/>
        </w:rPr>
        <w:t>Conducted periodic due diligence reviews on customers based on their assigned risk scores, ensuring ongoing compliance and risk mitigation measures are effective.</w:t>
      </w:r>
    </w:p>
    <w:p w:rsidR="00FA19E4" w:rsidRPr="00727DCE" w:rsidRDefault="00FA19E4">
      <w:pPr>
        <w:numPr>
          <w:ilvl w:val="0"/>
          <w:numId w:val="4"/>
        </w:numPr>
        <w:ind w:right="191" w:hanging="202"/>
        <w:rPr>
          <w:sz w:val="21"/>
          <w:szCs w:val="21"/>
        </w:rPr>
      </w:pPr>
      <w:r w:rsidRPr="00727DCE">
        <w:rPr>
          <w:sz w:val="21"/>
          <w:szCs w:val="21"/>
        </w:rPr>
        <w:t>Demonstrated proficiency in sanctions screening utilizing systems such as LexisNexis, Accurint, World Check, RDC, and Google, enhancing the effectiveness and efficiency of compliance processes.</w:t>
      </w:r>
    </w:p>
    <w:p w:rsidR="00CF705A" w:rsidRPr="00727DCE" w:rsidRDefault="00CF705A">
      <w:pPr>
        <w:pStyle w:val="Heading2"/>
        <w:ind w:left="225"/>
        <w:rPr>
          <w:sz w:val="21"/>
          <w:szCs w:val="21"/>
        </w:rPr>
      </w:pPr>
    </w:p>
    <w:p w:rsidR="00E55E59" w:rsidRPr="00727DCE" w:rsidRDefault="00604FA0">
      <w:pPr>
        <w:pStyle w:val="Heading2"/>
        <w:ind w:left="225"/>
        <w:rPr>
          <w:sz w:val="21"/>
          <w:szCs w:val="21"/>
        </w:rPr>
      </w:pPr>
      <w:r w:rsidRPr="00727DCE">
        <w:rPr>
          <w:sz w:val="21"/>
          <w:szCs w:val="21"/>
        </w:rPr>
        <w:t>Risk Analyst Trainer</w:t>
      </w:r>
      <w:r w:rsidRPr="00727DCE">
        <w:rPr>
          <w:sz w:val="21"/>
          <w:szCs w:val="21"/>
        </w:rPr>
        <w:t xml:space="preserve">, Wipro, Hyderabad, India  </w:t>
      </w:r>
    </w:p>
    <w:p w:rsidR="00E55E59" w:rsidRPr="00727DCE" w:rsidRDefault="00604FA0">
      <w:pPr>
        <w:tabs>
          <w:tab w:val="center" w:pos="905"/>
          <w:tab w:val="center" w:pos="2161"/>
          <w:tab w:val="center" w:pos="2881"/>
          <w:tab w:val="center" w:pos="3601"/>
          <w:tab w:val="center" w:pos="4322"/>
          <w:tab w:val="center" w:pos="5042"/>
          <w:tab w:val="center" w:pos="5762"/>
          <w:tab w:val="center" w:pos="6483"/>
          <w:tab w:val="center" w:pos="7203"/>
          <w:tab w:val="center" w:pos="7923"/>
          <w:tab w:val="center" w:pos="8644"/>
          <w:tab w:val="right" w:pos="11769"/>
        </w:tabs>
        <w:spacing w:after="0"/>
        <w:ind w:left="0" w:right="0" w:firstLine="0"/>
        <w:jc w:val="left"/>
        <w:rPr>
          <w:sz w:val="21"/>
          <w:szCs w:val="21"/>
        </w:rPr>
      </w:pPr>
      <w:r w:rsidRPr="00727DCE">
        <w:rPr>
          <w:rFonts w:ascii="Calibri" w:eastAsia="Calibri" w:hAnsi="Calibri" w:cs="Calibri"/>
          <w:sz w:val="21"/>
          <w:szCs w:val="21"/>
        </w:rPr>
        <w:tab/>
      </w:r>
      <w:r w:rsidRPr="00727DCE">
        <w:rPr>
          <w:b/>
          <w:sz w:val="21"/>
          <w:szCs w:val="21"/>
        </w:rPr>
        <w:t xml:space="preserve">Client: Google </w:t>
      </w:r>
      <w:r w:rsidRPr="00727DCE">
        <w:rPr>
          <w:b/>
          <w:sz w:val="21"/>
          <w:szCs w:val="21"/>
        </w:rPr>
        <w:tab/>
      </w:r>
      <w:r w:rsidR="00727DCE">
        <w:rPr>
          <w:rFonts w:ascii="Arial" w:eastAsia="Arial" w:hAnsi="Arial" w:cs="Arial"/>
          <w:b/>
          <w:sz w:val="21"/>
          <w:szCs w:val="21"/>
        </w:rPr>
        <w:t xml:space="preserve"> </w:t>
      </w:r>
      <w:r w:rsidR="00727DCE">
        <w:rPr>
          <w:rFonts w:ascii="Arial" w:eastAsia="Arial" w:hAnsi="Arial" w:cs="Arial"/>
          <w:b/>
          <w:sz w:val="21"/>
          <w:szCs w:val="21"/>
        </w:rPr>
        <w:tab/>
        <w:t xml:space="preserve"> </w:t>
      </w:r>
      <w:r w:rsidR="00727DCE">
        <w:rPr>
          <w:rFonts w:ascii="Arial" w:eastAsia="Arial" w:hAnsi="Arial" w:cs="Arial"/>
          <w:b/>
          <w:sz w:val="21"/>
          <w:szCs w:val="21"/>
        </w:rPr>
        <w:tab/>
        <w:t xml:space="preserve"> </w:t>
      </w:r>
      <w:r w:rsidR="00727DCE">
        <w:rPr>
          <w:rFonts w:ascii="Arial" w:eastAsia="Arial" w:hAnsi="Arial" w:cs="Arial"/>
          <w:b/>
          <w:sz w:val="21"/>
          <w:szCs w:val="21"/>
        </w:rPr>
        <w:tab/>
        <w:t xml:space="preserve"> </w:t>
      </w:r>
      <w:r w:rsidR="00727DCE">
        <w:rPr>
          <w:rFonts w:ascii="Arial" w:eastAsia="Arial" w:hAnsi="Arial" w:cs="Arial"/>
          <w:b/>
          <w:sz w:val="21"/>
          <w:szCs w:val="21"/>
        </w:rPr>
        <w:tab/>
        <w:t xml:space="preserve"> </w:t>
      </w:r>
      <w:r w:rsidR="00727DCE">
        <w:rPr>
          <w:rFonts w:ascii="Arial" w:eastAsia="Arial" w:hAnsi="Arial" w:cs="Arial"/>
          <w:b/>
          <w:sz w:val="21"/>
          <w:szCs w:val="21"/>
        </w:rPr>
        <w:tab/>
        <w:t xml:space="preserve"> </w:t>
      </w:r>
      <w:r w:rsidR="00727DCE">
        <w:rPr>
          <w:rFonts w:ascii="Arial" w:eastAsia="Arial" w:hAnsi="Arial" w:cs="Arial"/>
          <w:b/>
          <w:sz w:val="21"/>
          <w:szCs w:val="21"/>
        </w:rPr>
        <w:tab/>
        <w:t xml:space="preserve"> </w:t>
      </w:r>
      <w:r w:rsidR="00727DCE">
        <w:rPr>
          <w:rFonts w:ascii="Arial" w:eastAsia="Arial" w:hAnsi="Arial" w:cs="Arial"/>
          <w:b/>
          <w:sz w:val="21"/>
          <w:szCs w:val="21"/>
        </w:rPr>
        <w:tab/>
        <w:t xml:space="preserve"> </w:t>
      </w:r>
      <w:r w:rsidR="00727DCE">
        <w:rPr>
          <w:rFonts w:ascii="Arial" w:eastAsia="Arial" w:hAnsi="Arial" w:cs="Arial"/>
          <w:b/>
          <w:sz w:val="21"/>
          <w:szCs w:val="21"/>
        </w:rPr>
        <w:tab/>
        <w:t xml:space="preserve"> </w:t>
      </w:r>
      <w:r w:rsidR="00727DCE">
        <w:rPr>
          <w:rFonts w:ascii="Arial" w:eastAsia="Arial" w:hAnsi="Arial" w:cs="Arial"/>
          <w:b/>
          <w:sz w:val="21"/>
          <w:szCs w:val="21"/>
        </w:rPr>
        <w:tab/>
        <w:t xml:space="preserve"> </w:t>
      </w:r>
      <w:r w:rsidR="00727DCE">
        <w:rPr>
          <w:rFonts w:ascii="Arial" w:eastAsia="Arial" w:hAnsi="Arial" w:cs="Arial"/>
          <w:b/>
          <w:sz w:val="21"/>
          <w:szCs w:val="21"/>
        </w:rPr>
        <w:tab/>
      </w:r>
      <w:r w:rsidRPr="0054487B">
        <w:rPr>
          <w:b/>
          <w:sz w:val="21"/>
          <w:szCs w:val="21"/>
        </w:rPr>
        <w:t xml:space="preserve"> </w:t>
      </w:r>
      <w:r w:rsidRPr="0054487B">
        <w:rPr>
          <w:b/>
          <w:sz w:val="21"/>
          <w:szCs w:val="21"/>
        </w:rPr>
        <w:t>Feb 2017 – Dec 2018</w:t>
      </w:r>
      <w:r w:rsidRPr="00727DCE">
        <w:rPr>
          <w:rFonts w:ascii="Arial" w:eastAsia="Arial" w:hAnsi="Arial" w:cs="Arial"/>
          <w:b/>
          <w:sz w:val="21"/>
          <w:szCs w:val="21"/>
        </w:rPr>
        <w:t xml:space="preserve"> </w:t>
      </w:r>
    </w:p>
    <w:p w:rsidR="00CF705A" w:rsidRPr="00727DCE" w:rsidRDefault="00CF705A">
      <w:pPr>
        <w:numPr>
          <w:ilvl w:val="0"/>
          <w:numId w:val="5"/>
        </w:numPr>
        <w:ind w:right="191" w:hanging="202"/>
        <w:rPr>
          <w:sz w:val="21"/>
          <w:szCs w:val="21"/>
        </w:rPr>
      </w:pPr>
      <w:r w:rsidRPr="00727DCE">
        <w:rPr>
          <w:sz w:val="21"/>
          <w:szCs w:val="21"/>
        </w:rPr>
        <w:t>Spearheaded the creation and implementation of dynamic live and online compliance training programs, empowering business professionals with up-to-date knowledge on compliance requirements, legal issues, and regulatory changes, resulting in enhanced organizational compliance culture and minimized risk exposure.</w:t>
      </w:r>
    </w:p>
    <w:p w:rsidR="00CF705A" w:rsidRPr="00727DCE" w:rsidRDefault="00CF705A">
      <w:pPr>
        <w:numPr>
          <w:ilvl w:val="0"/>
          <w:numId w:val="5"/>
        </w:numPr>
        <w:ind w:right="191" w:hanging="202"/>
        <w:rPr>
          <w:sz w:val="21"/>
          <w:szCs w:val="21"/>
        </w:rPr>
      </w:pPr>
      <w:r w:rsidRPr="00727DCE">
        <w:rPr>
          <w:sz w:val="21"/>
          <w:szCs w:val="21"/>
        </w:rPr>
        <w:t>Conducted in-depth analysis of suspicious activity and fraud, meticulously gathering evidential supporting documentation as per internal procedures and US state regulatory requirements, ensuring thorough investigations and compliance with regulatory standards.</w:t>
      </w:r>
    </w:p>
    <w:p w:rsidR="00CF705A" w:rsidRPr="00727DCE" w:rsidRDefault="00CF705A">
      <w:pPr>
        <w:numPr>
          <w:ilvl w:val="0"/>
          <w:numId w:val="5"/>
        </w:numPr>
        <w:ind w:right="191" w:hanging="202"/>
        <w:rPr>
          <w:sz w:val="21"/>
          <w:szCs w:val="21"/>
        </w:rPr>
      </w:pPr>
      <w:r w:rsidRPr="00727DCE">
        <w:rPr>
          <w:sz w:val="21"/>
          <w:szCs w:val="21"/>
        </w:rPr>
        <w:t>Collaborated closely with key stakeholders to ensure proper management of suspicious activity and fraud cases, fostering a cohesive approach to risk mitigation and regulatory compliance, ultimately safeguarding organizational integrity and reputation.</w:t>
      </w:r>
    </w:p>
    <w:p w:rsidR="00CF705A" w:rsidRPr="00727DCE" w:rsidRDefault="00CF705A">
      <w:pPr>
        <w:numPr>
          <w:ilvl w:val="0"/>
          <w:numId w:val="5"/>
        </w:numPr>
        <w:ind w:right="191" w:hanging="202"/>
        <w:rPr>
          <w:sz w:val="21"/>
          <w:szCs w:val="21"/>
        </w:rPr>
      </w:pPr>
      <w:r w:rsidRPr="00727DCE">
        <w:rPr>
          <w:sz w:val="21"/>
          <w:szCs w:val="21"/>
        </w:rPr>
        <w:t>Reviewed daily reports for suspicious activity, including gameplay, device intelligence, and high-risk trends, ensuring timely reporting to state regulators and providing valuable insights into emerging fraud patterns, enabling proactive risk management strategies.</w:t>
      </w:r>
    </w:p>
    <w:p w:rsidR="00CF705A" w:rsidRPr="00727DCE" w:rsidRDefault="00CF705A">
      <w:pPr>
        <w:numPr>
          <w:ilvl w:val="0"/>
          <w:numId w:val="5"/>
        </w:numPr>
        <w:ind w:right="191" w:hanging="202"/>
        <w:rPr>
          <w:sz w:val="21"/>
          <w:szCs w:val="21"/>
        </w:rPr>
      </w:pPr>
      <w:r w:rsidRPr="00727DCE">
        <w:rPr>
          <w:sz w:val="21"/>
          <w:szCs w:val="21"/>
        </w:rPr>
        <w:t>Analyzed current fraud trends and provided strategic input into rules and parameters for reporting, contributing to the development of robust fraud detection mechanisms and enhancing the organization's ability to adapt to evolving threats.</w:t>
      </w:r>
    </w:p>
    <w:p w:rsidR="00CF705A" w:rsidRPr="00727DCE" w:rsidRDefault="00CF705A">
      <w:pPr>
        <w:numPr>
          <w:ilvl w:val="0"/>
          <w:numId w:val="5"/>
        </w:numPr>
        <w:ind w:right="191" w:hanging="202"/>
        <w:rPr>
          <w:sz w:val="21"/>
          <w:szCs w:val="21"/>
        </w:rPr>
      </w:pPr>
      <w:r w:rsidRPr="00727DCE">
        <w:rPr>
          <w:sz w:val="21"/>
          <w:szCs w:val="21"/>
        </w:rPr>
        <w:t>Conducted in-depth research into complex account activity, identifying potential sources of compromise, and recommending appropriate action, mitigating fraud risks and safeguarding customer assets.</w:t>
      </w:r>
    </w:p>
    <w:p w:rsidR="00CF705A" w:rsidRPr="00727DCE" w:rsidRDefault="00CF705A">
      <w:pPr>
        <w:numPr>
          <w:ilvl w:val="0"/>
          <w:numId w:val="5"/>
        </w:numPr>
        <w:ind w:right="191" w:hanging="202"/>
        <w:rPr>
          <w:sz w:val="21"/>
          <w:szCs w:val="21"/>
        </w:rPr>
      </w:pPr>
      <w:r w:rsidRPr="00727DCE">
        <w:rPr>
          <w:sz w:val="21"/>
          <w:szCs w:val="21"/>
        </w:rPr>
        <w:t>Prepared comprehensive reports detailing gaming transaction details, analyses, and investigation findings, supporting recommendations to AML and Suspicious Activity Analysts, facilitating informed decision-making and regulatory compliance.</w:t>
      </w:r>
    </w:p>
    <w:p w:rsidR="00CF705A" w:rsidRPr="00727DCE" w:rsidRDefault="00CF705A">
      <w:pPr>
        <w:numPr>
          <w:ilvl w:val="0"/>
          <w:numId w:val="5"/>
        </w:numPr>
        <w:ind w:right="191" w:hanging="202"/>
        <w:rPr>
          <w:sz w:val="21"/>
          <w:szCs w:val="21"/>
        </w:rPr>
      </w:pPr>
      <w:r w:rsidRPr="00727DCE">
        <w:rPr>
          <w:sz w:val="21"/>
          <w:szCs w:val="21"/>
        </w:rPr>
        <w:t>Documented regular risk reports for senior management, highlighting key risk exposures, trends, and performance metrics, effectively communicating complex risk-related concepts in a clear and concise manner, enabling informed strategic decision-making at the executive level.</w:t>
      </w:r>
    </w:p>
    <w:p w:rsidR="00CF705A" w:rsidRPr="00727DCE" w:rsidRDefault="00CF705A">
      <w:pPr>
        <w:pStyle w:val="Heading2"/>
        <w:ind w:left="225"/>
        <w:rPr>
          <w:sz w:val="21"/>
          <w:szCs w:val="21"/>
        </w:rPr>
      </w:pPr>
    </w:p>
    <w:p w:rsidR="00E55E59" w:rsidRPr="00727DCE" w:rsidRDefault="00604FA0">
      <w:pPr>
        <w:pStyle w:val="Heading2"/>
        <w:ind w:left="225"/>
        <w:rPr>
          <w:sz w:val="21"/>
          <w:szCs w:val="21"/>
        </w:rPr>
      </w:pPr>
      <w:r w:rsidRPr="00727DCE">
        <w:rPr>
          <w:sz w:val="21"/>
          <w:szCs w:val="21"/>
        </w:rPr>
        <w:t xml:space="preserve">Financial Risk Analyst, Wipro, Hyderabad, India  </w:t>
      </w:r>
    </w:p>
    <w:p w:rsidR="00E55E59" w:rsidRPr="00727DCE" w:rsidRDefault="00604FA0">
      <w:pPr>
        <w:tabs>
          <w:tab w:val="center" w:pos="905"/>
          <w:tab w:val="center" w:pos="2161"/>
          <w:tab w:val="center" w:pos="2881"/>
          <w:tab w:val="center" w:pos="3601"/>
          <w:tab w:val="center" w:pos="4322"/>
          <w:tab w:val="center" w:pos="5042"/>
          <w:tab w:val="center" w:pos="5762"/>
          <w:tab w:val="center" w:pos="6483"/>
          <w:tab w:val="center" w:pos="7203"/>
          <w:tab w:val="center" w:pos="7923"/>
          <w:tab w:val="center" w:pos="8644"/>
          <w:tab w:val="right" w:pos="11769"/>
        </w:tabs>
        <w:spacing w:after="0"/>
        <w:ind w:left="0" w:right="0" w:firstLine="0"/>
        <w:jc w:val="left"/>
        <w:rPr>
          <w:sz w:val="21"/>
          <w:szCs w:val="21"/>
        </w:rPr>
      </w:pPr>
      <w:r w:rsidRPr="00727DCE">
        <w:rPr>
          <w:rFonts w:ascii="Calibri" w:eastAsia="Calibri" w:hAnsi="Calibri" w:cs="Calibri"/>
          <w:sz w:val="21"/>
          <w:szCs w:val="21"/>
        </w:rPr>
        <w:tab/>
      </w:r>
      <w:r w:rsidRPr="00727DCE">
        <w:rPr>
          <w:b/>
          <w:sz w:val="21"/>
          <w:szCs w:val="21"/>
        </w:rPr>
        <w:t>Client: Google</w:t>
      </w:r>
      <w:r w:rsidRPr="00727DCE">
        <w:rPr>
          <w:rFonts w:ascii="Arial" w:eastAsia="Arial" w:hAnsi="Arial" w:cs="Arial"/>
          <w:b/>
          <w:sz w:val="21"/>
          <w:szCs w:val="21"/>
        </w:rPr>
        <w:t xml:space="preserve">  </w:t>
      </w:r>
      <w:r w:rsidRPr="00727DCE">
        <w:rPr>
          <w:rFonts w:ascii="Arial" w:eastAsia="Arial" w:hAnsi="Arial" w:cs="Arial"/>
          <w:b/>
          <w:sz w:val="21"/>
          <w:szCs w:val="21"/>
        </w:rPr>
        <w:tab/>
      </w:r>
      <w:r w:rsidRPr="00727DCE">
        <w:rPr>
          <w:rFonts w:ascii="Arial" w:eastAsia="Arial" w:hAnsi="Arial" w:cs="Arial"/>
          <w:b/>
          <w:sz w:val="21"/>
          <w:szCs w:val="21"/>
        </w:rPr>
        <w:t xml:space="preserve"> </w:t>
      </w:r>
      <w:r w:rsidRPr="00727DCE">
        <w:rPr>
          <w:rFonts w:ascii="Arial" w:eastAsia="Arial" w:hAnsi="Arial" w:cs="Arial"/>
          <w:b/>
          <w:sz w:val="21"/>
          <w:szCs w:val="21"/>
        </w:rPr>
        <w:tab/>
        <w:t xml:space="preserve"> </w:t>
      </w:r>
      <w:r w:rsidRPr="00727DCE">
        <w:rPr>
          <w:rFonts w:ascii="Arial" w:eastAsia="Arial" w:hAnsi="Arial" w:cs="Arial"/>
          <w:b/>
          <w:sz w:val="21"/>
          <w:szCs w:val="21"/>
        </w:rPr>
        <w:tab/>
        <w:t xml:space="preserve"> </w:t>
      </w:r>
      <w:r w:rsidRPr="00727DCE">
        <w:rPr>
          <w:rFonts w:ascii="Arial" w:eastAsia="Arial" w:hAnsi="Arial" w:cs="Arial"/>
          <w:b/>
          <w:sz w:val="21"/>
          <w:szCs w:val="21"/>
        </w:rPr>
        <w:tab/>
        <w:t xml:space="preserve"> </w:t>
      </w:r>
      <w:r w:rsidRPr="00727DCE">
        <w:rPr>
          <w:rFonts w:ascii="Arial" w:eastAsia="Arial" w:hAnsi="Arial" w:cs="Arial"/>
          <w:b/>
          <w:sz w:val="21"/>
          <w:szCs w:val="21"/>
        </w:rPr>
        <w:tab/>
        <w:t xml:space="preserve"> </w:t>
      </w:r>
      <w:r w:rsidRPr="00727DCE">
        <w:rPr>
          <w:rFonts w:ascii="Arial" w:eastAsia="Arial" w:hAnsi="Arial" w:cs="Arial"/>
          <w:b/>
          <w:sz w:val="21"/>
          <w:szCs w:val="21"/>
        </w:rPr>
        <w:tab/>
        <w:t xml:space="preserve"> </w:t>
      </w:r>
      <w:r w:rsidRPr="00727DCE">
        <w:rPr>
          <w:rFonts w:ascii="Arial" w:eastAsia="Arial" w:hAnsi="Arial" w:cs="Arial"/>
          <w:b/>
          <w:sz w:val="21"/>
          <w:szCs w:val="21"/>
        </w:rPr>
        <w:tab/>
        <w:t xml:space="preserve"> </w:t>
      </w:r>
      <w:r w:rsidRPr="00727DCE">
        <w:rPr>
          <w:rFonts w:ascii="Arial" w:eastAsia="Arial" w:hAnsi="Arial" w:cs="Arial"/>
          <w:b/>
          <w:sz w:val="21"/>
          <w:szCs w:val="21"/>
        </w:rPr>
        <w:tab/>
        <w:t xml:space="preserve"> </w:t>
      </w:r>
      <w:r w:rsidRPr="00727DCE">
        <w:rPr>
          <w:rFonts w:ascii="Arial" w:eastAsia="Arial" w:hAnsi="Arial" w:cs="Arial"/>
          <w:b/>
          <w:sz w:val="21"/>
          <w:szCs w:val="21"/>
        </w:rPr>
        <w:tab/>
        <w:t xml:space="preserve"> </w:t>
      </w:r>
      <w:r w:rsidRPr="00727DCE">
        <w:rPr>
          <w:rFonts w:ascii="Arial" w:eastAsia="Arial" w:hAnsi="Arial" w:cs="Arial"/>
          <w:b/>
          <w:sz w:val="21"/>
          <w:szCs w:val="21"/>
        </w:rPr>
        <w:tab/>
        <w:t xml:space="preserve"> </w:t>
      </w:r>
      <w:r w:rsidRPr="00727DCE">
        <w:rPr>
          <w:rFonts w:ascii="Arial" w:eastAsia="Arial" w:hAnsi="Arial" w:cs="Arial"/>
          <w:b/>
          <w:sz w:val="21"/>
          <w:szCs w:val="21"/>
        </w:rPr>
        <w:tab/>
      </w:r>
      <w:r w:rsidRPr="0054487B">
        <w:rPr>
          <w:b/>
          <w:sz w:val="21"/>
          <w:szCs w:val="21"/>
        </w:rPr>
        <w:t xml:space="preserve">         </w:t>
      </w:r>
      <w:r w:rsidRPr="0054487B">
        <w:rPr>
          <w:b/>
          <w:sz w:val="21"/>
          <w:szCs w:val="21"/>
        </w:rPr>
        <w:t>Jul 2016 – Feb 2017</w:t>
      </w:r>
      <w:r w:rsidRPr="00727DCE">
        <w:rPr>
          <w:rFonts w:ascii="Arial" w:eastAsia="Arial" w:hAnsi="Arial" w:cs="Arial"/>
          <w:b/>
          <w:sz w:val="21"/>
          <w:szCs w:val="21"/>
        </w:rPr>
        <w:t xml:space="preserve"> </w:t>
      </w:r>
    </w:p>
    <w:p w:rsidR="00CF705A" w:rsidRPr="00727DCE" w:rsidRDefault="00CF705A">
      <w:pPr>
        <w:numPr>
          <w:ilvl w:val="0"/>
          <w:numId w:val="6"/>
        </w:numPr>
        <w:ind w:right="191" w:hanging="202"/>
        <w:rPr>
          <w:sz w:val="21"/>
          <w:szCs w:val="21"/>
        </w:rPr>
      </w:pPr>
      <w:r w:rsidRPr="00727DCE">
        <w:rPr>
          <w:sz w:val="21"/>
          <w:szCs w:val="21"/>
        </w:rPr>
        <w:t>Reviewed and analyzed customer data, transaction activity, gameplay, and geolocation activity using a combination of internal and external systems and tools, resulting in timely detection of potential risks and fraudulent activities.</w:t>
      </w:r>
    </w:p>
    <w:p w:rsidR="00CF705A" w:rsidRPr="00727DCE" w:rsidRDefault="00CF705A">
      <w:pPr>
        <w:numPr>
          <w:ilvl w:val="0"/>
          <w:numId w:val="6"/>
        </w:numPr>
        <w:ind w:right="191" w:hanging="202"/>
        <w:rPr>
          <w:sz w:val="21"/>
          <w:szCs w:val="21"/>
        </w:rPr>
      </w:pPr>
      <w:r w:rsidRPr="00727DCE">
        <w:rPr>
          <w:sz w:val="21"/>
          <w:szCs w:val="21"/>
        </w:rPr>
        <w:t>Conducted daily reviews of new member accounts and account changes, performing due diligence actions to ensure compliance with regulatory requirements and mitigate fraud risks.</w:t>
      </w:r>
    </w:p>
    <w:p w:rsidR="00CF705A" w:rsidRPr="00727DCE" w:rsidRDefault="00CF705A">
      <w:pPr>
        <w:numPr>
          <w:ilvl w:val="0"/>
          <w:numId w:val="6"/>
        </w:numPr>
        <w:ind w:right="191" w:hanging="202"/>
        <w:rPr>
          <w:sz w:val="21"/>
          <w:szCs w:val="21"/>
        </w:rPr>
      </w:pPr>
      <w:r w:rsidRPr="00727DCE">
        <w:rPr>
          <w:sz w:val="21"/>
          <w:szCs w:val="21"/>
        </w:rPr>
        <w:t>Demonstrated expertise in real-time and Card-Not-Present (CNP) payments and fraud, including debit, credit, prepaid cards, ACH and wire, and gift cards, contributing to effective fraud detection and prevention measures.</w:t>
      </w:r>
    </w:p>
    <w:p w:rsidR="00CF705A" w:rsidRPr="00727DCE" w:rsidRDefault="00CF705A">
      <w:pPr>
        <w:numPr>
          <w:ilvl w:val="0"/>
          <w:numId w:val="6"/>
        </w:numPr>
        <w:ind w:right="191" w:hanging="202"/>
        <w:rPr>
          <w:sz w:val="21"/>
          <w:szCs w:val="21"/>
        </w:rPr>
      </w:pPr>
      <w:r w:rsidRPr="00727DCE">
        <w:rPr>
          <w:sz w:val="21"/>
          <w:szCs w:val="21"/>
        </w:rPr>
        <w:t>Conducted reviews focused on detecting suspicious activity for the purpose of filing Suspicious Activity Reports (SARs), facilitating regulatory compliance and protecting the organization against financial crimes.</w:t>
      </w:r>
    </w:p>
    <w:p w:rsidR="00CF705A" w:rsidRPr="00727DCE" w:rsidRDefault="00CF705A">
      <w:pPr>
        <w:numPr>
          <w:ilvl w:val="0"/>
          <w:numId w:val="6"/>
        </w:numPr>
        <w:ind w:right="191" w:hanging="202"/>
        <w:rPr>
          <w:sz w:val="21"/>
          <w:szCs w:val="21"/>
        </w:rPr>
      </w:pPr>
      <w:r w:rsidRPr="00727DCE">
        <w:rPr>
          <w:sz w:val="21"/>
          <w:szCs w:val="21"/>
        </w:rPr>
        <w:t>Utilized experience with KYC, due diligence, and OFAC sanctions screening to ensure adherence to regulatory requirements and mitigate compliance risks.</w:t>
      </w:r>
    </w:p>
    <w:p w:rsidR="00CF705A" w:rsidRPr="00727DCE" w:rsidRDefault="00CF705A">
      <w:pPr>
        <w:numPr>
          <w:ilvl w:val="0"/>
          <w:numId w:val="6"/>
        </w:numPr>
        <w:ind w:right="191" w:hanging="202"/>
        <w:rPr>
          <w:sz w:val="21"/>
          <w:szCs w:val="21"/>
        </w:rPr>
      </w:pPr>
      <w:r w:rsidRPr="00727DCE">
        <w:rPr>
          <w:sz w:val="21"/>
          <w:szCs w:val="21"/>
        </w:rPr>
        <w:t>Demonstrated excellent research, analytical, and due diligence skills, enabling thorough investigations and informed decision-making processes.</w:t>
      </w:r>
    </w:p>
    <w:p w:rsidR="00CF705A" w:rsidRPr="00727DCE" w:rsidRDefault="00CF705A">
      <w:pPr>
        <w:numPr>
          <w:ilvl w:val="0"/>
          <w:numId w:val="6"/>
        </w:numPr>
        <w:ind w:right="191" w:hanging="202"/>
        <w:rPr>
          <w:sz w:val="21"/>
          <w:szCs w:val="21"/>
        </w:rPr>
      </w:pPr>
      <w:r w:rsidRPr="00727DCE">
        <w:rPr>
          <w:sz w:val="21"/>
          <w:szCs w:val="21"/>
        </w:rPr>
        <w:t>Possessed strong foundational knowledge of U.S. banking laws and regulations, with a focus on BSA/AML and sanctions laws and regulations, ensuring compliance with regulatory standards.</w:t>
      </w:r>
    </w:p>
    <w:p w:rsidR="00CF705A" w:rsidRPr="00727DCE" w:rsidRDefault="00CF705A">
      <w:pPr>
        <w:numPr>
          <w:ilvl w:val="0"/>
          <w:numId w:val="6"/>
        </w:numPr>
        <w:ind w:right="191" w:hanging="202"/>
        <w:rPr>
          <w:sz w:val="21"/>
          <w:szCs w:val="21"/>
        </w:rPr>
      </w:pPr>
      <w:r w:rsidRPr="00727DCE">
        <w:rPr>
          <w:sz w:val="21"/>
          <w:szCs w:val="21"/>
        </w:rPr>
        <w:t>Adapted to and evolved with Bank Transformation initiatives, demonstrating flexibility and leadership in navigating changes and driving organizational growth.</w:t>
      </w:r>
    </w:p>
    <w:p w:rsidR="00CF705A" w:rsidRPr="00727DCE" w:rsidRDefault="00CF705A">
      <w:pPr>
        <w:numPr>
          <w:ilvl w:val="0"/>
          <w:numId w:val="6"/>
        </w:numPr>
        <w:ind w:right="191" w:hanging="202"/>
        <w:rPr>
          <w:sz w:val="21"/>
          <w:szCs w:val="21"/>
        </w:rPr>
      </w:pPr>
      <w:r w:rsidRPr="00727DCE">
        <w:rPr>
          <w:sz w:val="21"/>
          <w:szCs w:val="21"/>
        </w:rPr>
        <w:t>Applied strong knowledge of the deposit and digital banking product lifecycle to identify and mitigate risks, ensuring the integrity and security of banking operations.</w:t>
      </w:r>
    </w:p>
    <w:p w:rsidR="00E55E59" w:rsidRPr="00727DCE" w:rsidRDefault="00CF705A" w:rsidP="00727DCE">
      <w:pPr>
        <w:numPr>
          <w:ilvl w:val="0"/>
          <w:numId w:val="6"/>
        </w:numPr>
        <w:ind w:right="191" w:hanging="202"/>
        <w:rPr>
          <w:sz w:val="21"/>
          <w:szCs w:val="21"/>
        </w:rPr>
      </w:pPr>
      <w:r w:rsidRPr="00727DCE">
        <w:rPr>
          <w:sz w:val="21"/>
          <w:szCs w:val="21"/>
        </w:rPr>
        <w:t>Identified, assessed, and analyzed privacy and security risks that could impact the company's operations, assets, and reputation, implementing effective risk management strategies to safeguard organizational interests.</w:t>
      </w:r>
      <w:r w:rsidR="00604FA0" w:rsidRPr="00727DCE">
        <w:rPr>
          <w:sz w:val="21"/>
          <w:szCs w:val="21"/>
        </w:rPr>
        <w:t xml:space="preserve"> </w:t>
      </w:r>
    </w:p>
    <w:p w:rsidR="00E55E59" w:rsidRPr="00727DCE" w:rsidRDefault="00604FA0">
      <w:pPr>
        <w:spacing w:after="50"/>
        <w:ind w:left="0" w:right="0" w:firstLine="0"/>
        <w:jc w:val="left"/>
        <w:rPr>
          <w:sz w:val="21"/>
          <w:szCs w:val="21"/>
        </w:rPr>
      </w:pPr>
      <w:r w:rsidRPr="00727DCE">
        <w:rPr>
          <w:b/>
          <w:i/>
          <w:sz w:val="21"/>
          <w:szCs w:val="21"/>
        </w:rPr>
        <w:t xml:space="preserve"> </w:t>
      </w:r>
    </w:p>
    <w:p w:rsidR="00E55E59" w:rsidRPr="00727DCE" w:rsidRDefault="00604FA0">
      <w:pPr>
        <w:spacing w:after="0"/>
        <w:ind w:left="235" w:right="0" w:firstLine="0"/>
        <w:jc w:val="left"/>
        <w:rPr>
          <w:sz w:val="21"/>
          <w:szCs w:val="21"/>
        </w:rPr>
      </w:pPr>
      <w:r w:rsidRPr="00727DCE">
        <w:rPr>
          <w:b/>
          <w:sz w:val="21"/>
          <w:szCs w:val="21"/>
        </w:rPr>
        <w:t xml:space="preserve"> </w:t>
      </w:r>
    </w:p>
    <w:sectPr w:rsidR="00E55E59" w:rsidRPr="00727DCE">
      <w:pgSz w:w="11942" w:h="16862"/>
      <w:pgMar w:top="344" w:right="92" w:bottom="312" w:left="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A0" w:rsidRDefault="00604FA0" w:rsidP="00CF705A">
      <w:pPr>
        <w:spacing w:after="0" w:line="240" w:lineRule="auto"/>
      </w:pPr>
      <w:r>
        <w:separator/>
      </w:r>
    </w:p>
  </w:endnote>
  <w:endnote w:type="continuationSeparator" w:id="0">
    <w:p w:rsidR="00604FA0" w:rsidRDefault="00604FA0" w:rsidP="00CF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A0" w:rsidRDefault="00604FA0" w:rsidP="00CF705A">
      <w:pPr>
        <w:spacing w:after="0" w:line="240" w:lineRule="auto"/>
      </w:pPr>
      <w:r>
        <w:separator/>
      </w:r>
    </w:p>
  </w:footnote>
  <w:footnote w:type="continuationSeparator" w:id="0">
    <w:p w:rsidR="00604FA0" w:rsidRDefault="00604FA0" w:rsidP="00CF7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39E8"/>
    <w:multiLevelType w:val="hybridMultilevel"/>
    <w:tmpl w:val="8EACCDE8"/>
    <w:lvl w:ilvl="0" w:tplc="D004A640">
      <w:start w:val="1"/>
      <w:numFmt w:val="bullet"/>
      <w:lvlText w:val="•"/>
      <w:lvlJc w:val="left"/>
      <w:pPr>
        <w:ind w:left="5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6016BB14">
      <w:start w:val="1"/>
      <w:numFmt w:val="bullet"/>
      <w:lvlText w:val="o"/>
      <w:lvlJc w:val="left"/>
      <w:pPr>
        <w:ind w:left="13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753E549E">
      <w:start w:val="1"/>
      <w:numFmt w:val="bullet"/>
      <w:lvlText w:val="▪"/>
      <w:lvlJc w:val="left"/>
      <w:pPr>
        <w:ind w:left="21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A072C83A">
      <w:start w:val="1"/>
      <w:numFmt w:val="bullet"/>
      <w:lvlText w:val="•"/>
      <w:lvlJc w:val="left"/>
      <w:pPr>
        <w:ind w:left="28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BAE4234">
      <w:start w:val="1"/>
      <w:numFmt w:val="bullet"/>
      <w:lvlText w:val="o"/>
      <w:lvlJc w:val="left"/>
      <w:pPr>
        <w:ind w:left="35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25D85C8E">
      <w:start w:val="1"/>
      <w:numFmt w:val="bullet"/>
      <w:lvlText w:val="▪"/>
      <w:lvlJc w:val="left"/>
      <w:pPr>
        <w:ind w:left="427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3BE89BBC">
      <w:start w:val="1"/>
      <w:numFmt w:val="bullet"/>
      <w:lvlText w:val="•"/>
      <w:lvlJc w:val="left"/>
      <w:pPr>
        <w:ind w:left="49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1962030E">
      <w:start w:val="1"/>
      <w:numFmt w:val="bullet"/>
      <w:lvlText w:val="o"/>
      <w:lvlJc w:val="left"/>
      <w:pPr>
        <w:ind w:left="57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86F62DC2">
      <w:start w:val="1"/>
      <w:numFmt w:val="bullet"/>
      <w:lvlText w:val="▪"/>
      <w:lvlJc w:val="left"/>
      <w:pPr>
        <w:ind w:left="64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1C51D9"/>
    <w:multiLevelType w:val="hybridMultilevel"/>
    <w:tmpl w:val="57049728"/>
    <w:lvl w:ilvl="0" w:tplc="5BDA2EE4">
      <w:start w:val="1"/>
      <w:numFmt w:val="bullet"/>
      <w:lvlText w:val="•"/>
      <w:lvlJc w:val="left"/>
      <w:pPr>
        <w:ind w:left="5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6EB825A0">
      <w:start w:val="1"/>
      <w:numFmt w:val="bullet"/>
      <w:lvlText w:val="o"/>
      <w:lvlJc w:val="left"/>
      <w:pPr>
        <w:ind w:left="13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E1A3D34">
      <w:start w:val="1"/>
      <w:numFmt w:val="bullet"/>
      <w:lvlText w:val="▪"/>
      <w:lvlJc w:val="left"/>
      <w:pPr>
        <w:ind w:left="21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0560BC6">
      <w:start w:val="1"/>
      <w:numFmt w:val="bullet"/>
      <w:lvlText w:val="•"/>
      <w:lvlJc w:val="left"/>
      <w:pPr>
        <w:ind w:left="28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FAFE651E">
      <w:start w:val="1"/>
      <w:numFmt w:val="bullet"/>
      <w:lvlText w:val="o"/>
      <w:lvlJc w:val="left"/>
      <w:pPr>
        <w:ind w:left="35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BE86C742">
      <w:start w:val="1"/>
      <w:numFmt w:val="bullet"/>
      <w:lvlText w:val="▪"/>
      <w:lvlJc w:val="left"/>
      <w:pPr>
        <w:ind w:left="427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C0BA1F1A">
      <w:start w:val="1"/>
      <w:numFmt w:val="bullet"/>
      <w:lvlText w:val="•"/>
      <w:lvlJc w:val="left"/>
      <w:pPr>
        <w:ind w:left="49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9806E00">
      <w:start w:val="1"/>
      <w:numFmt w:val="bullet"/>
      <w:lvlText w:val="o"/>
      <w:lvlJc w:val="left"/>
      <w:pPr>
        <w:ind w:left="57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56709892">
      <w:start w:val="1"/>
      <w:numFmt w:val="bullet"/>
      <w:lvlText w:val="▪"/>
      <w:lvlJc w:val="left"/>
      <w:pPr>
        <w:ind w:left="64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987ED7"/>
    <w:multiLevelType w:val="hybridMultilevel"/>
    <w:tmpl w:val="974E3258"/>
    <w:lvl w:ilvl="0" w:tplc="D3B683A4">
      <w:start w:val="1"/>
      <w:numFmt w:val="bullet"/>
      <w:lvlText w:val="•"/>
      <w:lvlJc w:val="left"/>
      <w:pPr>
        <w:ind w:left="5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2A433F0">
      <w:start w:val="1"/>
      <w:numFmt w:val="bullet"/>
      <w:lvlText w:val="o"/>
      <w:lvlJc w:val="left"/>
      <w:pPr>
        <w:ind w:left="13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CDC831EC">
      <w:start w:val="1"/>
      <w:numFmt w:val="bullet"/>
      <w:lvlText w:val="▪"/>
      <w:lvlJc w:val="left"/>
      <w:pPr>
        <w:ind w:left="21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AA40EE06">
      <w:start w:val="1"/>
      <w:numFmt w:val="bullet"/>
      <w:lvlText w:val="•"/>
      <w:lvlJc w:val="left"/>
      <w:pPr>
        <w:ind w:left="28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FFFC257C">
      <w:start w:val="1"/>
      <w:numFmt w:val="bullet"/>
      <w:lvlText w:val="o"/>
      <w:lvlJc w:val="left"/>
      <w:pPr>
        <w:ind w:left="35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8796109A">
      <w:start w:val="1"/>
      <w:numFmt w:val="bullet"/>
      <w:lvlText w:val="▪"/>
      <w:lvlJc w:val="left"/>
      <w:pPr>
        <w:ind w:left="427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5FA8256">
      <w:start w:val="1"/>
      <w:numFmt w:val="bullet"/>
      <w:lvlText w:val="•"/>
      <w:lvlJc w:val="left"/>
      <w:pPr>
        <w:ind w:left="49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75CE2CE">
      <w:start w:val="1"/>
      <w:numFmt w:val="bullet"/>
      <w:lvlText w:val="o"/>
      <w:lvlJc w:val="left"/>
      <w:pPr>
        <w:ind w:left="57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B1ED386">
      <w:start w:val="1"/>
      <w:numFmt w:val="bullet"/>
      <w:lvlText w:val="▪"/>
      <w:lvlJc w:val="left"/>
      <w:pPr>
        <w:ind w:left="64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19447C"/>
    <w:multiLevelType w:val="hybridMultilevel"/>
    <w:tmpl w:val="0D6E8A9E"/>
    <w:lvl w:ilvl="0" w:tplc="3F9CB41E">
      <w:start w:val="1"/>
      <w:numFmt w:val="bullet"/>
      <w:lvlText w:val="•"/>
      <w:lvlJc w:val="left"/>
      <w:pPr>
        <w:ind w:left="5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5066E61C">
      <w:start w:val="1"/>
      <w:numFmt w:val="bullet"/>
      <w:lvlText w:val="o"/>
      <w:lvlJc w:val="left"/>
      <w:pPr>
        <w:ind w:left="13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7C727F26">
      <w:start w:val="1"/>
      <w:numFmt w:val="bullet"/>
      <w:lvlText w:val="▪"/>
      <w:lvlJc w:val="left"/>
      <w:pPr>
        <w:ind w:left="21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72ACCAA4">
      <w:start w:val="1"/>
      <w:numFmt w:val="bullet"/>
      <w:lvlText w:val="•"/>
      <w:lvlJc w:val="left"/>
      <w:pPr>
        <w:ind w:left="28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90BAC6EA">
      <w:start w:val="1"/>
      <w:numFmt w:val="bullet"/>
      <w:lvlText w:val="o"/>
      <w:lvlJc w:val="left"/>
      <w:pPr>
        <w:ind w:left="35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BD6A3B0A">
      <w:start w:val="1"/>
      <w:numFmt w:val="bullet"/>
      <w:lvlText w:val="▪"/>
      <w:lvlJc w:val="left"/>
      <w:pPr>
        <w:ind w:left="427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502630C0">
      <w:start w:val="1"/>
      <w:numFmt w:val="bullet"/>
      <w:lvlText w:val="•"/>
      <w:lvlJc w:val="left"/>
      <w:pPr>
        <w:ind w:left="49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D4CAFFA">
      <w:start w:val="1"/>
      <w:numFmt w:val="bullet"/>
      <w:lvlText w:val="o"/>
      <w:lvlJc w:val="left"/>
      <w:pPr>
        <w:ind w:left="57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BBC015A">
      <w:start w:val="1"/>
      <w:numFmt w:val="bullet"/>
      <w:lvlText w:val="▪"/>
      <w:lvlJc w:val="left"/>
      <w:pPr>
        <w:ind w:left="64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F3A035D"/>
    <w:multiLevelType w:val="hybridMultilevel"/>
    <w:tmpl w:val="5F3039BE"/>
    <w:lvl w:ilvl="0" w:tplc="B0E25094">
      <w:start w:val="1"/>
      <w:numFmt w:val="bullet"/>
      <w:lvlText w:val="•"/>
      <w:lvlJc w:val="left"/>
      <w:pPr>
        <w:ind w:left="5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B6485AC0">
      <w:start w:val="1"/>
      <w:numFmt w:val="bullet"/>
      <w:lvlText w:val="o"/>
      <w:lvlJc w:val="left"/>
      <w:pPr>
        <w:ind w:left="13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09348D08">
      <w:start w:val="1"/>
      <w:numFmt w:val="bullet"/>
      <w:lvlText w:val="▪"/>
      <w:lvlJc w:val="left"/>
      <w:pPr>
        <w:ind w:left="21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07C687BC">
      <w:start w:val="1"/>
      <w:numFmt w:val="bullet"/>
      <w:lvlText w:val="•"/>
      <w:lvlJc w:val="left"/>
      <w:pPr>
        <w:ind w:left="28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2D24F06">
      <w:start w:val="1"/>
      <w:numFmt w:val="bullet"/>
      <w:lvlText w:val="o"/>
      <w:lvlJc w:val="left"/>
      <w:pPr>
        <w:ind w:left="35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282B03E">
      <w:start w:val="1"/>
      <w:numFmt w:val="bullet"/>
      <w:lvlText w:val="▪"/>
      <w:lvlJc w:val="left"/>
      <w:pPr>
        <w:ind w:left="427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D722BA2A">
      <w:start w:val="1"/>
      <w:numFmt w:val="bullet"/>
      <w:lvlText w:val="•"/>
      <w:lvlJc w:val="left"/>
      <w:pPr>
        <w:ind w:left="49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13EBE28">
      <w:start w:val="1"/>
      <w:numFmt w:val="bullet"/>
      <w:lvlText w:val="o"/>
      <w:lvlJc w:val="left"/>
      <w:pPr>
        <w:ind w:left="57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952BC32">
      <w:start w:val="1"/>
      <w:numFmt w:val="bullet"/>
      <w:lvlText w:val="▪"/>
      <w:lvlJc w:val="left"/>
      <w:pPr>
        <w:ind w:left="64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B97DA4"/>
    <w:multiLevelType w:val="hybridMultilevel"/>
    <w:tmpl w:val="8B82A550"/>
    <w:lvl w:ilvl="0" w:tplc="91C6BC8A">
      <w:start w:val="1"/>
      <w:numFmt w:val="bullet"/>
      <w:lvlText w:val="•"/>
      <w:lvlJc w:val="left"/>
      <w:pPr>
        <w:ind w:left="5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7CEE49C2">
      <w:start w:val="1"/>
      <w:numFmt w:val="bullet"/>
      <w:lvlText w:val="o"/>
      <w:lvlJc w:val="left"/>
      <w:pPr>
        <w:ind w:left="13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E43A3DFC">
      <w:start w:val="1"/>
      <w:numFmt w:val="bullet"/>
      <w:lvlText w:val="▪"/>
      <w:lvlJc w:val="left"/>
      <w:pPr>
        <w:ind w:left="21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3569C92">
      <w:start w:val="1"/>
      <w:numFmt w:val="bullet"/>
      <w:lvlText w:val="•"/>
      <w:lvlJc w:val="left"/>
      <w:pPr>
        <w:ind w:left="28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D6AA906">
      <w:start w:val="1"/>
      <w:numFmt w:val="bullet"/>
      <w:lvlText w:val="o"/>
      <w:lvlJc w:val="left"/>
      <w:pPr>
        <w:ind w:left="35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002C80A">
      <w:start w:val="1"/>
      <w:numFmt w:val="bullet"/>
      <w:lvlText w:val="▪"/>
      <w:lvlJc w:val="left"/>
      <w:pPr>
        <w:ind w:left="427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CBE21996">
      <w:start w:val="1"/>
      <w:numFmt w:val="bullet"/>
      <w:lvlText w:val="•"/>
      <w:lvlJc w:val="left"/>
      <w:pPr>
        <w:ind w:left="49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011AB490">
      <w:start w:val="1"/>
      <w:numFmt w:val="bullet"/>
      <w:lvlText w:val="o"/>
      <w:lvlJc w:val="left"/>
      <w:pPr>
        <w:ind w:left="57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9B45076">
      <w:start w:val="1"/>
      <w:numFmt w:val="bullet"/>
      <w:lvlText w:val="▪"/>
      <w:lvlJc w:val="left"/>
      <w:pPr>
        <w:ind w:left="64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59"/>
    <w:rsid w:val="00086E32"/>
    <w:rsid w:val="002E30DD"/>
    <w:rsid w:val="0054487B"/>
    <w:rsid w:val="00604FA0"/>
    <w:rsid w:val="00727DCE"/>
    <w:rsid w:val="00CF705A"/>
    <w:rsid w:val="00E55E59"/>
    <w:rsid w:val="00FA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FCEC"/>
  <w15:docId w15:val="{440969FE-1260-4C4A-B845-7A341E34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DCE"/>
    <w:pPr>
      <w:spacing w:after="3"/>
      <w:ind w:left="327" w:right="20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620" w:hanging="10"/>
      <w:outlineLvl w:val="0"/>
    </w:pPr>
    <w:rPr>
      <w:rFonts w:ascii="Times New Roman" w:eastAsia="Times New Roman" w:hAnsi="Times New Roman" w:cs="Times New Roman"/>
      <w:b/>
      <w:color w:val="1F487C"/>
      <w:sz w:val="28"/>
    </w:rPr>
  </w:style>
  <w:style w:type="paragraph" w:styleId="Heading2">
    <w:name w:val="heading 2"/>
    <w:next w:val="Normal"/>
    <w:link w:val="Heading2Char"/>
    <w:uiPriority w:val="9"/>
    <w:unhideWhenUsed/>
    <w:qFormat/>
    <w:pPr>
      <w:keepNext/>
      <w:keepLines/>
      <w:spacing w:after="0"/>
      <w:ind w:left="1321"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ind w:left="1321"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236" w:hanging="10"/>
      <w:outlineLvl w:val="3"/>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rFonts w:ascii="Times New Roman" w:eastAsia="Times New Roman" w:hAnsi="Times New Roman" w:cs="Times New Roman"/>
      <w:i/>
      <w:color w:val="000000"/>
      <w:sz w:val="22"/>
    </w:rPr>
  </w:style>
  <w:style w:type="character" w:customStyle="1" w:styleId="Heading1Char">
    <w:name w:val="Heading 1 Char"/>
    <w:link w:val="Heading1"/>
    <w:rPr>
      <w:rFonts w:ascii="Times New Roman" w:eastAsia="Times New Roman" w:hAnsi="Times New Roman" w:cs="Times New Roman"/>
      <w:b/>
      <w:color w:val="1F487C"/>
      <w:sz w:val="28"/>
    </w:rPr>
  </w:style>
  <w:style w:type="character" w:customStyle="1" w:styleId="Heading2Char">
    <w:name w:val="Heading 2 Char"/>
    <w:link w:val="Heading2"/>
    <w:uiPriority w:val="9"/>
    <w:rPr>
      <w:rFonts w:ascii="Times New Roman" w:eastAsia="Times New Roman" w:hAnsi="Times New Roman" w:cs="Times New Roman"/>
      <w:b/>
      <w:color w:val="000000"/>
      <w:sz w:val="22"/>
    </w:rPr>
  </w:style>
  <w:style w:type="character" w:customStyle="1" w:styleId="Heading3Char">
    <w:name w:val="Heading 3 Char"/>
    <w:link w:val="Heading3"/>
    <w:uiPriority w:val="9"/>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F7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5A"/>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CF7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5A"/>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1779">
      <w:bodyDiv w:val="1"/>
      <w:marLeft w:val="0"/>
      <w:marRight w:val="0"/>
      <w:marTop w:val="0"/>
      <w:marBottom w:val="0"/>
      <w:divBdr>
        <w:top w:val="none" w:sz="0" w:space="0" w:color="auto"/>
        <w:left w:val="none" w:sz="0" w:space="0" w:color="auto"/>
        <w:bottom w:val="none" w:sz="0" w:space="0" w:color="auto"/>
        <w:right w:val="none" w:sz="0" w:space="0" w:color="auto"/>
      </w:divBdr>
      <w:divsChild>
        <w:div w:id="2082216524">
          <w:marLeft w:val="0"/>
          <w:marRight w:val="0"/>
          <w:marTop w:val="0"/>
          <w:marBottom w:val="0"/>
          <w:divBdr>
            <w:top w:val="single" w:sz="2" w:space="0" w:color="D9D9E3"/>
            <w:left w:val="single" w:sz="2" w:space="0" w:color="D9D9E3"/>
            <w:bottom w:val="single" w:sz="2" w:space="0" w:color="D9D9E3"/>
            <w:right w:val="single" w:sz="2" w:space="0" w:color="D9D9E3"/>
          </w:divBdr>
          <w:divsChild>
            <w:div w:id="1654262384">
              <w:marLeft w:val="0"/>
              <w:marRight w:val="0"/>
              <w:marTop w:val="0"/>
              <w:marBottom w:val="0"/>
              <w:divBdr>
                <w:top w:val="single" w:sz="2" w:space="0" w:color="D9D9E3"/>
                <w:left w:val="single" w:sz="2" w:space="0" w:color="D9D9E3"/>
                <w:bottom w:val="single" w:sz="2" w:space="0" w:color="D9D9E3"/>
                <w:right w:val="single" w:sz="2" w:space="0" w:color="D9D9E3"/>
              </w:divBdr>
              <w:divsChild>
                <w:div w:id="1657296794">
                  <w:marLeft w:val="0"/>
                  <w:marRight w:val="0"/>
                  <w:marTop w:val="0"/>
                  <w:marBottom w:val="0"/>
                  <w:divBdr>
                    <w:top w:val="single" w:sz="2" w:space="0" w:color="D9D9E3"/>
                    <w:left w:val="single" w:sz="2" w:space="0" w:color="D9D9E3"/>
                    <w:bottom w:val="single" w:sz="2" w:space="0" w:color="D9D9E3"/>
                    <w:right w:val="single" w:sz="2" w:space="0" w:color="D9D9E3"/>
                  </w:divBdr>
                  <w:divsChild>
                    <w:div w:id="1252622064">
                      <w:marLeft w:val="0"/>
                      <w:marRight w:val="0"/>
                      <w:marTop w:val="0"/>
                      <w:marBottom w:val="0"/>
                      <w:divBdr>
                        <w:top w:val="single" w:sz="2" w:space="0" w:color="D9D9E3"/>
                        <w:left w:val="single" w:sz="2" w:space="0" w:color="D9D9E3"/>
                        <w:bottom w:val="single" w:sz="2" w:space="0" w:color="D9D9E3"/>
                        <w:right w:val="single" w:sz="2" w:space="0" w:color="D9D9E3"/>
                      </w:divBdr>
                      <w:divsChild>
                        <w:div w:id="405079406">
                          <w:marLeft w:val="0"/>
                          <w:marRight w:val="0"/>
                          <w:marTop w:val="0"/>
                          <w:marBottom w:val="0"/>
                          <w:divBdr>
                            <w:top w:val="single" w:sz="2" w:space="0" w:color="D9D9E3"/>
                            <w:left w:val="single" w:sz="2" w:space="0" w:color="D9D9E3"/>
                            <w:bottom w:val="single" w:sz="2" w:space="0" w:color="D9D9E3"/>
                            <w:right w:val="single" w:sz="2" w:space="0" w:color="D9D9E3"/>
                          </w:divBdr>
                          <w:divsChild>
                            <w:div w:id="10683861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17812">
                                  <w:marLeft w:val="0"/>
                                  <w:marRight w:val="0"/>
                                  <w:marTop w:val="0"/>
                                  <w:marBottom w:val="0"/>
                                  <w:divBdr>
                                    <w:top w:val="single" w:sz="2" w:space="0" w:color="D9D9E3"/>
                                    <w:left w:val="single" w:sz="2" w:space="0" w:color="D9D9E3"/>
                                    <w:bottom w:val="single" w:sz="2" w:space="0" w:color="D9D9E3"/>
                                    <w:right w:val="single" w:sz="2" w:space="0" w:color="D9D9E3"/>
                                  </w:divBdr>
                                  <w:divsChild>
                                    <w:div w:id="1833914791">
                                      <w:marLeft w:val="0"/>
                                      <w:marRight w:val="0"/>
                                      <w:marTop w:val="0"/>
                                      <w:marBottom w:val="0"/>
                                      <w:divBdr>
                                        <w:top w:val="single" w:sz="2" w:space="0" w:color="D9D9E3"/>
                                        <w:left w:val="single" w:sz="2" w:space="0" w:color="D9D9E3"/>
                                        <w:bottom w:val="single" w:sz="2" w:space="0" w:color="D9D9E3"/>
                                        <w:right w:val="single" w:sz="2" w:space="0" w:color="D9D9E3"/>
                                      </w:divBdr>
                                      <w:divsChild>
                                        <w:div w:id="177503404">
                                          <w:marLeft w:val="0"/>
                                          <w:marRight w:val="0"/>
                                          <w:marTop w:val="0"/>
                                          <w:marBottom w:val="0"/>
                                          <w:divBdr>
                                            <w:top w:val="single" w:sz="2" w:space="0" w:color="D9D9E3"/>
                                            <w:left w:val="single" w:sz="2" w:space="0" w:color="D9D9E3"/>
                                            <w:bottom w:val="single" w:sz="2" w:space="0" w:color="D9D9E3"/>
                                            <w:right w:val="single" w:sz="2" w:space="0" w:color="D9D9E3"/>
                                          </w:divBdr>
                                          <w:divsChild>
                                            <w:div w:id="1304853743">
                                              <w:marLeft w:val="0"/>
                                              <w:marRight w:val="0"/>
                                              <w:marTop w:val="0"/>
                                              <w:marBottom w:val="0"/>
                                              <w:divBdr>
                                                <w:top w:val="single" w:sz="2" w:space="0" w:color="D9D9E3"/>
                                                <w:left w:val="single" w:sz="2" w:space="0" w:color="D9D9E3"/>
                                                <w:bottom w:val="single" w:sz="2" w:space="0" w:color="D9D9E3"/>
                                                <w:right w:val="single" w:sz="2" w:space="0" w:color="D9D9E3"/>
                                              </w:divBdr>
                                              <w:divsChild>
                                                <w:div w:id="1945068459">
                                                  <w:marLeft w:val="0"/>
                                                  <w:marRight w:val="0"/>
                                                  <w:marTop w:val="0"/>
                                                  <w:marBottom w:val="0"/>
                                                  <w:divBdr>
                                                    <w:top w:val="single" w:sz="2" w:space="0" w:color="D9D9E3"/>
                                                    <w:left w:val="single" w:sz="2" w:space="0" w:color="D9D9E3"/>
                                                    <w:bottom w:val="single" w:sz="2" w:space="0" w:color="D9D9E3"/>
                                                    <w:right w:val="single" w:sz="2" w:space="0" w:color="D9D9E3"/>
                                                  </w:divBdr>
                                                  <w:divsChild>
                                                    <w:div w:id="822625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2719051">
          <w:marLeft w:val="0"/>
          <w:marRight w:val="0"/>
          <w:marTop w:val="0"/>
          <w:marBottom w:val="0"/>
          <w:divBdr>
            <w:top w:val="none" w:sz="0" w:space="0" w:color="auto"/>
            <w:left w:val="none" w:sz="0" w:space="0" w:color="auto"/>
            <w:bottom w:val="none" w:sz="0" w:space="0" w:color="auto"/>
            <w:right w:val="none" w:sz="0" w:space="0" w:color="auto"/>
          </w:divBdr>
        </w:div>
      </w:divsChild>
    </w:div>
    <w:div w:id="691953522">
      <w:bodyDiv w:val="1"/>
      <w:marLeft w:val="0"/>
      <w:marRight w:val="0"/>
      <w:marTop w:val="0"/>
      <w:marBottom w:val="0"/>
      <w:divBdr>
        <w:top w:val="none" w:sz="0" w:space="0" w:color="auto"/>
        <w:left w:val="none" w:sz="0" w:space="0" w:color="auto"/>
        <w:bottom w:val="none" w:sz="0" w:space="0" w:color="auto"/>
        <w:right w:val="none" w:sz="0" w:space="0" w:color="auto"/>
      </w:divBdr>
      <w:divsChild>
        <w:div w:id="326247476">
          <w:marLeft w:val="0"/>
          <w:marRight w:val="0"/>
          <w:marTop w:val="0"/>
          <w:marBottom w:val="0"/>
          <w:divBdr>
            <w:top w:val="single" w:sz="2" w:space="0" w:color="D9D9E3"/>
            <w:left w:val="single" w:sz="2" w:space="0" w:color="D9D9E3"/>
            <w:bottom w:val="single" w:sz="2" w:space="0" w:color="D9D9E3"/>
            <w:right w:val="single" w:sz="2" w:space="0" w:color="D9D9E3"/>
          </w:divBdr>
          <w:divsChild>
            <w:div w:id="1513060618">
              <w:marLeft w:val="0"/>
              <w:marRight w:val="0"/>
              <w:marTop w:val="0"/>
              <w:marBottom w:val="0"/>
              <w:divBdr>
                <w:top w:val="single" w:sz="2" w:space="0" w:color="D9D9E3"/>
                <w:left w:val="single" w:sz="2" w:space="0" w:color="D9D9E3"/>
                <w:bottom w:val="single" w:sz="2" w:space="0" w:color="D9D9E3"/>
                <w:right w:val="single" w:sz="2" w:space="0" w:color="D9D9E3"/>
              </w:divBdr>
              <w:divsChild>
                <w:div w:id="1491289559">
                  <w:marLeft w:val="0"/>
                  <w:marRight w:val="0"/>
                  <w:marTop w:val="0"/>
                  <w:marBottom w:val="0"/>
                  <w:divBdr>
                    <w:top w:val="single" w:sz="2" w:space="0" w:color="D9D9E3"/>
                    <w:left w:val="single" w:sz="2" w:space="0" w:color="D9D9E3"/>
                    <w:bottom w:val="single" w:sz="2" w:space="0" w:color="D9D9E3"/>
                    <w:right w:val="single" w:sz="2" w:space="0" w:color="D9D9E3"/>
                  </w:divBdr>
                  <w:divsChild>
                    <w:div w:id="1603294543">
                      <w:marLeft w:val="0"/>
                      <w:marRight w:val="0"/>
                      <w:marTop w:val="0"/>
                      <w:marBottom w:val="0"/>
                      <w:divBdr>
                        <w:top w:val="single" w:sz="2" w:space="0" w:color="D9D9E3"/>
                        <w:left w:val="single" w:sz="2" w:space="0" w:color="D9D9E3"/>
                        <w:bottom w:val="single" w:sz="2" w:space="0" w:color="D9D9E3"/>
                        <w:right w:val="single" w:sz="2" w:space="0" w:color="D9D9E3"/>
                      </w:divBdr>
                      <w:divsChild>
                        <w:div w:id="1792552358">
                          <w:marLeft w:val="0"/>
                          <w:marRight w:val="0"/>
                          <w:marTop w:val="0"/>
                          <w:marBottom w:val="0"/>
                          <w:divBdr>
                            <w:top w:val="single" w:sz="2" w:space="0" w:color="D9D9E3"/>
                            <w:left w:val="single" w:sz="2" w:space="0" w:color="D9D9E3"/>
                            <w:bottom w:val="single" w:sz="2" w:space="0" w:color="D9D9E3"/>
                            <w:right w:val="single" w:sz="2" w:space="0" w:color="D9D9E3"/>
                          </w:divBdr>
                          <w:divsChild>
                            <w:div w:id="1267805397">
                              <w:marLeft w:val="0"/>
                              <w:marRight w:val="0"/>
                              <w:marTop w:val="100"/>
                              <w:marBottom w:val="100"/>
                              <w:divBdr>
                                <w:top w:val="single" w:sz="2" w:space="0" w:color="D9D9E3"/>
                                <w:left w:val="single" w:sz="2" w:space="0" w:color="D9D9E3"/>
                                <w:bottom w:val="single" w:sz="2" w:space="0" w:color="D9D9E3"/>
                                <w:right w:val="single" w:sz="2" w:space="0" w:color="D9D9E3"/>
                              </w:divBdr>
                              <w:divsChild>
                                <w:div w:id="1528182583">
                                  <w:marLeft w:val="0"/>
                                  <w:marRight w:val="0"/>
                                  <w:marTop w:val="0"/>
                                  <w:marBottom w:val="0"/>
                                  <w:divBdr>
                                    <w:top w:val="single" w:sz="2" w:space="0" w:color="D9D9E3"/>
                                    <w:left w:val="single" w:sz="2" w:space="0" w:color="D9D9E3"/>
                                    <w:bottom w:val="single" w:sz="2" w:space="0" w:color="D9D9E3"/>
                                    <w:right w:val="single" w:sz="2" w:space="0" w:color="D9D9E3"/>
                                  </w:divBdr>
                                  <w:divsChild>
                                    <w:div w:id="36703011">
                                      <w:marLeft w:val="0"/>
                                      <w:marRight w:val="0"/>
                                      <w:marTop w:val="0"/>
                                      <w:marBottom w:val="0"/>
                                      <w:divBdr>
                                        <w:top w:val="single" w:sz="2" w:space="0" w:color="D9D9E3"/>
                                        <w:left w:val="single" w:sz="2" w:space="0" w:color="D9D9E3"/>
                                        <w:bottom w:val="single" w:sz="2" w:space="0" w:color="D9D9E3"/>
                                        <w:right w:val="single" w:sz="2" w:space="0" w:color="D9D9E3"/>
                                      </w:divBdr>
                                      <w:divsChild>
                                        <w:div w:id="1897274370">
                                          <w:marLeft w:val="0"/>
                                          <w:marRight w:val="0"/>
                                          <w:marTop w:val="0"/>
                                          <w:marBottom w:val="0"/>
                                          <w:divBdr>
                                            <w:top w:val="single" w:sz="2" w:space="0" w:color="D9D9E3"/>
                                            <w:left w:val="single" w:sz="2" w:space="0" w:color="D9D9E3"/>
                                            <w:bottom w:val="single" w:sz="2" w:space="0" w:color="D9D9E3"/>
                                            <w:right w:val="single" w:sz="2" w:space="0" w:color="D9D9E3"/>
                                          </w:divBdr>
                                          <w:divsChild>
                                            <w:div w:id="1017586707">
                                              <w:marLeft w:val="0"/>
                                              <w:marRight w:val="0"/>
                                              <w:marTop w:val="0"/>
                                              <w:marBottom w:val="0"/>
                                              <w:divBdr>
                                                <w:top w:val="single" w:sz="2" w:space="0" w:color="D9D9E3"/>
                                                <w:left w:val="single" w:sz="2" w:space="0" w:color="D9D9E3"/>
                                                <w:bottom w:val="single" w:sz="2" w:space="0" w:color="D9D9E3"/>
                                                <w:right w:val="single" w:sz="2" w:space="0" w:color="D9D9E3"/>
                                              </w:divBdr>
                                              <w:divsChild>
                                                <w:div w:id="686835929">
                                                  <w:marLeft w:val="0"/>
                                                  <w:marRight w:val="0"/>
                                                  <w:marTop w:val="0"/>
                                                  <w:marBottom w:val="0"/>
                                                  <w:divBdr>
                                                    <w:top w:val="single" w:sz="2" w:space="0" w:color="D9D9E3"/>
                                                    <w:left w:val="single" w:sz="2" w:space="0" w:color="D9D9E3"/>
                                                    <w:bottom w:val="single" w:sz="2" w:space="0" w:color="D9D9E3"/>
                                                    <w:right w:val="single" w:sz="2" w:space="0" w:color="D9D9E3"/>
                                                  </w:divBdr>
                                                  <w:divsChild>
                                                    <w:div w:id="1154495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41202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Akshita Patil</dc:creator>
  <cp:keywords/>
  <cp:lastModifiedBy>Aryan Mishra</cp:lastModifiedBy>
  <cp:revision>56</cp:revision>
  <dcterms:created xsi:type="dcterms:W3CDTF">2024-02-02T17:42:00Z</dcterms:created>
  <dcterms:modified xsi:type="dcterms:W3CDTF">2024-02-02T19:13:00Z</dcterms:modified>
</cp:coreProperties>
</file>