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00DB" w14:textId="77777777" w:rsidR="00CA68C7" w:rsidRPr="00CA68C7" w:rsidRDefault="00CA68C7" w:rsidP="00CA68C7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Theme="minorEastAsia" w:hAnsi="Garamond" w:cs="Times New Roman"/>
          <w:b/>
          <w:kern w:val="0"/>
          <w:sz w:val="28"/>
          <w:szCs w:val="28"/>
          <w:lang w:val="en-US"/>
          <w14:ligatures w14:val="none"/>
        </w:rPr>
      </w:pPr>
      <w:bookmarkStart w:id="0" w:name="_Hlk148551779"/>
      <w:r w:rsidRPr="00CA68C7">
        <w:rPr>
          <w:rFonts w:ascii="Garamond" w:eastAsiaTheme="minorEastAsia" w:hAnsi="Garamond" w:cs="Times New Roman"/>
          <w:b/>
          <w:kern w:val="0"/>
          <w:sz w:val="28"/>
          <w:szCs w:val="28"/>
          <w:lang w:val="en-US"/>
          <w14:ligatures w14:val="none"/>
        </w:rPr>
        <w:t>Reeja Elizabeth Varghese</w:t>
      </w:r>
    </w:p>
    <w:p w14:paraId="380FB284" w14:textId="5F9F894B" w:rsidR="00CA68C7" w:rsidRPr="00CA68C7" w:rsidRDefault="00CA68C7" w:rsidP="00CA68C7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Theme="minorEastAsia" w:hAnsi="Garamond" w:cs="Times New Roman"/>
          <w:kern w:val="0"/>
          <w:sz w:val="25"/>
          <w:szCs w:val="25"/>
          <w:lang w:val="en-US"/>
          <w14:ligatures w14:val="none"/>
        </w:rPr>
      </w:pPr>
      <w:r w:rsidRPr="00CA68C7">
        <w:rPr>
          <w:rFonts w:ascii="Garamond" w:eastAsiaTheme="minorEastAsia" w:hAnsi="Garamond" w:cs="Times New Roman"/>
          <w:kern w:val="0"/>
          <w:sz w:val="25"/>
          <w:szCs w:val="25"/>
          <w:lang w:val="en-US"/>
          <w14:ligatures w14:val="none"/>
        </w:rPr>
        <w:t>reeja.beth@gmail.com • (954) 541-1757•</w:t>
      </w:r>
    </w:p>
    <w:p w14:paraId="4D404D71" w14:textId="77777777" w:rsidR="00CA68C7" w:rsidRPr="00CA68C7" w:rsidRDefault="00CA68C7" w:rsidP="00CA68C7">
      <w:pPr>
        <w:tabs>
          <w:tab w:val="right" w:pos="10800"/>
        </w:tabs>
        <w:spacing w:after="0" w:line="240" w:lineRule="auto"/>
        <w:jc w:val="both"/>
        <w:rPr>
          <w:rFonts w:ascii="Garamond" w:eastAsiaTheme="minorEastAsia" w:hAnsi="Garamond" w:cs="Times New Roman"/>
          <w:b/>
          <w:kern w:val="0"/>
          <w:sz w:val="16"/>
          <w:szCs w:val="16"/>
          <w:u w:val="single"/>
          <w:lang w:val="en-US"/>
          <w14:ligatures w14:val="none"/>
        </w:rPr>
      </w:pPr>
    </w:p>
    <w:p w14:paraId="36E7B993" w14:textId="77777777" w:rsidR="00CA68C7" w:rsidRPr="00CA68C7" w:rsidRDefault="00CA68C7" w:rsidP="00CA68C7">
      <w:pPr>
        <w:tabs>
          <w:tab w:val="right" w:pos="10800"/>
        </w:tabs>
        <w:spacing w:after="60" w:line="240" w:lineRule="auto"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kern w:val="0"/>
          <w:u w:val="single"/>
          <w:lang w:val="en-US"/>
          <w14:ligatures w14:val="none"/>
        </w:rPr>
        <w:t>LEGAL EXPERIENCE</w:t>
      </w:r>
      <w:r w:rsidRPr="00CA68C7"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  <w:t xml:space="preserve"> </w:t>
      </w:r>
    </w:p>
    <w:p w14:paraId="72C707DA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kern w:val="0"/>
          <w:sz w:val="16"/>
          <w:szCs w:val="16"/>
          <w:lang w:val="en-US"/>
          <w14:ligatures w14:val="none"/>
        </w:rPr>
      </w:pPr>
    </w:p>
    <w:p w14:paraId="58853306" w14:textId="77777777" w:rsidR="00CA68C7" w:rsidRPr="00CA68C7" w:rsidRDefault="00CA68C7" w:rsidP="00CA68C7">
      <w:pPr>
        <w:tabs>
          <w:tab w:val="left" w:pos="83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  <w:t>Hogan Lovells US LLP</w:t>
      </w:r>
      <w:r w:rsidRPr="00CA68C7"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  <w:tab/>
        <w:t xml:space="preserve"> </w:t>
      </w: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Washington,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 D.C.</w:t>
      </w:r>
    </w:p>
    <w:p w14:paraId="09035EB3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iCs/>
          <w:kern w:val="0"/>
          <w:lang w:val="en-US"/>
          <w14:ligatures w14:val="none"/>
        </w:rPr>
        <w:t>Law Clerk, Infrastructure, Energy, Resources and Projects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Oct 2022 – Present</w:t>
      </w:r>
    </w:p>
    <w:p w14:paraId="6154B39F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Advise development finance institutions in complex cross-border projects</w:t>
      </w:r>
    </w:p>
    <w:p w14:paraId="062CF713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 xml:space="preserve">Review interest rate provisions for syndicated loans in connection with LIBOR transition and draft amendment agreements for ongoing projects </w:t>
      </w:r>
    </w:p>
    <w:p w14:paraId="060F388C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Conduct legal due diligence and prepare issues memos on energy and renewables projects</w:t>
      </w:r>
    </w:p>
    <w:p w14:paraId="10F8FF85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Draft and review debt and equity financing documentation, including loan agreements, security agreements, and stockholders agreement</w:t>
      </w:r>
    </w:p>
    <w:p w14:paraId="3B6F4EAF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 xml:space="preserve">Draft and review EPC and EPCM contracts for domestic projects </w:t>
      </w:r>
    </w:p>
    <w:p w14:paraId="382A6059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 xml:space="preserve">Draft legal opinions, secretary’s certificates, and written consents </w:t>
      </w:r>
    </w:p>
    <w:p w14:paraId="4CBF08D4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Prepare closing checklist, track credit agreement deliverables, and prepare closing documents</w:t>
      </w:r>
    </w:p>
    <w:p w14:paraId="57C28654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 xml:space="preserve">Provide general legal support to partners and business development team </w:t>
      </w:r>
    </w:p>
    <w:p w14:paraId="5CA83222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kern w:val="0"/>
          <w:sz w:val="16"/>
          <w:szCs w:val="16"/>
          <w:lang w:val="en-US"/>
          <w14:ligatures w14:val="none"/>
        </w:rPr>
      </w:pPr>
    </w:p>
    <w:p w14:paraId="3B983897" w14:textId="77777777" w:rsidR="00CA68C7" w:rsidRPr="00CA68C7" w:rsidRDefault="00CA68C7" w:rsidP="00CA68C7">
      <w:pPr>
        <w:tabs>
          <w:tab w:val="left" w:pos="6390"/>
        </w:tabs>
        <w:spacing w:after="0" w:line="276" w:lineRule="auto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iCs/>
          <w:kern w:val="0"/>
          <w:lang w:val="en-US"/>
          <w14:ligatures w14:val="none"/>
        </w:rPr>
        <w:t>Legal Extern, Infrastructure, Energy, Resources and Projects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 xml:space="preserve">           February 2022 </w:t>
      </w:r>
      <w:bookmarkStart w:id="1" w:name="_Hlk147245134"/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–</w:t>
      </w:r>
      <w:bookmarkEnd w:id="1"/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 May 2022</w:t>
      </w:r>
    </w:p>
    <w:p w14:paraId="59BFC475" w14:textId="77777777" w:rsidR="00CA68C7" w:rsidRPr="00CA68C7" w:rsidRDefault="00CA68C7" w:rsidP="00CA68C7">
      <w:pPr>
        <w:numPr>
          <w:ilvl w:val="0"/>
          <w:numId w:val="3"/>
        </w:numPr>
        <w:tabs>
          <w:tab w:val="left" w:pos="83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Reviewed and analyzed lender’s agreement, term sheet and other project finance transactional documents</w:t>
      </w:r>
    </w:p>
    <w:p w14:paraId="2CE0A0E9" w14:textId="77777777" w:rsidR="00CA68C7" w:rsidRPr="00CA68C7" w:rsidRDefault="00CA68C7" w:rsidP="00CA68C7">
      <w:pPr>
        <w:numPr>
          <w:ilvl w:val="0"/>
          <w:numId w:val="2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Researched international law affecting transaction documents and negotiation decisions</w:t>
      </w:r>
    </w:p>
    <w:p w14:paraId="4089CD68" w14:textId="77777777" w:rsidR="00CA68C7" w:rsidRPr="00CA68C7" w:rsidRDefault="00CA68C7" w:rsidP="00CA68C7">
      <w:pPr>
        <w:numPr>
          <w:ilvl w:val="0"/>
          <w:numId w:val="2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Drafted transactional documents, including amended certificate of incorporation and preferred stock purchase agreement for a pro bono client</w:t>
      </w:r>
    </w:p>
    <w:p w14:paraId="0199E28E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kern w:val="0"/>
          <w:sz w:val="16"/>
          <w:szCs w:val="16"/>
          <w:lang w:val="en-US"/>
          <w14:ligatures w14:val="none"/>
        </w:rPr>
      </w:pPr>
    </w:p>
    <w:p w14:paraId="079517EA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>Boyd injury law, p.a.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Plantation, FL</w:t>
      </w:r>
    </w:p>
    <w:p w14:paraId="7DC31391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iCs/>
          <w:kern w:val="0"/>
          <w:lang w:val="en-US"/>
          <w14:ligatures w14:val="none"/>
        </w:rPr>
        <w:t>Litigation Paralegal, Personal Injury Protection (PIP) Law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 xml:space="preserve">August 2019 </w:t>
      </w:r>
      <w:bookmarkStart w:id="2" w:name="_Hlk137217998"/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– </w:t>
      </w:r>
      <w:bookmarkEnd w:id="2"/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July 2020</w:t>
      </w:r>
    </w:p>
    <w:p w14:paraId="3FD2A9C9" w14:textId="77777777" w:rsidR="00CA68C7" w:rsidRPr="00CA68C7" w:rsidRDefault="00CA68C7" w:rsidP="00CA68C7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Coordinated trial exhibits; reviewed files, organized materials, and prepared digital materials</w:t>
      </w:r>
    </w:p>
    <w:p w14:paraId="0FC848E2" w14:textId="77777777" w:rsidR="00CA68C7" w:rsidRPr="00CA68C7" w:rsidRDefault="00CA68C7" w:rsidP="00CA68C7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Analyzed explanation of benefits and coverage limits and advised on insurance claim determinations</w:t>
      </w:r>
    </w:p>
    <w:p w14:paraId="11A0B6CF" w14:textId="77777777" w:rsidR="00CA68C7" w:rsidRPr="00CA68C7" w:rsidRDefault="00CA68C7" w:rsidP="00CA68C7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Drafted complaints, pleadings, discovery responses, and motions in support of litigation </w:t>
      </w:r>
    </w:p>
    <w:p w14:paraId="5D91D939" w14:textId="77777777" w:rsidR="00CA68C7" w:rsidRPr="00CA68C7" w:rsidRDefault="00CA68C7" w:rsidP="00CA68C7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Conferred with clients and other involved parties to gather and track case information</w:t>
      </w:r>
    </w:p>
    <w:p w14:paraId="3F47381F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2A40E3FD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>Chambers of Senior advocate Mr. Jayant Bhushan, Supreme Court of India</w:t>
      </w: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ab/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 New Delhi, India</w:t>
      </w:r>
    </w:p>
    <w:p w14:paraId="16773BE0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iCs/>
          <w:kern w:val="0"/>
          <w:lang w:val="en-US"/>
          <w14:ligatures w14:val="none"/>
        </w:rPr>
        <w:t>Associate, Litigation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 xml:space="preserve">September 2016 </w:t>
      </w:r>
      <w:bookmarkStart w:id="3" w:name="_Hlk83203062"/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–</w:t>
      </w:r>
      <w:bookmarkEnd w:id="3"/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 December 2018</w:t>
      </w:r>
    </w:p>
    <w:p w14:paraId="7740C77B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Represented a leading Indian seed manufacturing company in a challenge to the patentability of Monsanto’s genetically modified cotton seeds</w:t>
      </w:r>
    </w:p>
    <w:p w14:paraId="0B31A1FD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Advised Reserve Bank of India in a constitutional challenge of India’s biometric ID program before the Supreme Court of India</w:t>
      </w:r>
    </w:p>
    <w:p w14:paraId="0A201465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Drafted legal memorandum on issues governing domestic and international arbitration, public interest litigation, environmental, privacy, anti-trust, patent, and labor law </w:t>
      </w:r>
    </w:p>
    <w:p w14:paraId="0BBB23FC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Prepared statement of claim, rejoinders, and motions in domestic and international commercial arbitrations </w:t>
      </w:r>
    </w:p>
    <w:p w14:paraId="2560445A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Drafted submissions and argued in pro-bono matters concerning environmental issues before the National Green Tribunal</w:t>
      </w:r>
    </w:p>
    <w:p w14:paraId="792B074F" w14:textId="77777777" w:rsidR="00CA68C7" w:rsidRPr="00CA68C7" w:rsidRDefault="00CA68C7" w:rsidP="00CA68C7">
      <w:pPr>
        <w:tabs>
          <w:tab w:val="right" w:pos="10800"/>
        </w:tabs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02C46102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>Chambers of Mr. Sunil Mathews, Supreme Court of India</w:t>
      </w: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ab/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 New Delhi, India</w:t>
      </w:r>
    </w:p>
    <w:p w14:paraId="42CA2E38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iCs/>
          <w:kern w:val="0"/>
          <w:lang w:val="en-US"/>
          <w14:ligatures w14:val="none"/>
        </w:rPr>
        <w:t>Associate, Litigation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July 2014 – August 2016</w:t>
      </w:r>
    </w:p>
    <w:p w14:paraId="615BDF6E" w14:textId="77777777" w:rsidR="00CA68C7" w:rsidRPr="00CA68C7" w:rsidRDefault="00CA68C7" w:rsidP="00CA68C7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Represented government agencies before numerous judicial fora concerning patentability of plant seeds and royalty rights in hybrid plants </w:t>
      </w:r>
    </w:p>
    <w:p w14:paraId="1C975B93" w14:textId="77777777" w:rsidR="00CA68C7" w:rsidRPr="00CA68C7" w:rsidRDefault="00CA68C7" w:rsidP="00CA68C7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Drafted statement of claim, rejoinders, and motions for a multinational offshore drilling company in a US$56m international arbitration proceeding</w:t>
      </w:r>
    </w:p>
    <w:p w14:paraId="75A0DD5B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 xml:space="preserve">Drafted and issued opinions on domestic laws and issues of relevance to government agencies and public and private oil and gas companies </w:t>
      </w:r>
    </w:p>
    <w:p w14:paraId="3758ECC9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lastRenderedPageBreak/>
        <w:t>Drafted submissions and argued on criminal, civil, procedural, administrative and regulatory cases pending before appellate courts and other tribunals</w:t>
      </w:r>
    </w:p>
    <w:p w14:paraId="6980B741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Drafted pleading documents such as writ petitions, original side civil complaints, answers, civil and criminal appellate briefs</w:t>
      </w:r>
    </w:p>
    <w:p w14:paraId="0A032975" w14:textId="77777777" w:rsidR="00CA68C7" w:rsidRPr="00CA68C7" w:rsidRDefault="00CA68C7" w:rsidP="00CA68C7">
      <w:pPr>
        <w:numPr>
          <w:ilvl w:val="0"/>
          <w:numId w:val="1"/>
        </w:numPr>
        <w:tabs>
          <w:tab w:val="right" w:pos="10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Mentored and guided interns on legal research and drafting, court proceedings and legislative topics</w:t>
      </w:r>
    </w:p>
    <w:p w14:paraId="365A361C" w14:textId="77777777" w:rsidR="00CA68C7" w:rsidRPr="00CA68C7" w:rsidRDefault="00CA68C7" w:rsidP="00CA68C7">
      <w:pPr>
        <w:tabs>
          <w:tab w:val="right" w:pos="10800"/>
        </w:tabs>
        <w:spacing w:after="120" w:line="240" w:lineRule="auto"/>
        <w:jc w:val="both"/>
        <w:rPr>
          <w:rFonts w:ascii="Times New Roman" w:eastAsiaTheme="minorEastAsia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3DDAAA63" w14:textId="77777777" w:rsidR="00CA68C7" w:rsidRPr="00CA68C7" w:rsidRDefault="00CA68C7" w:rsidP="00CA68C7">
      <w:pPr>
        <w:tabs>
          <w:tab w:val="right" w:pos="10800"/>
        </w:tabs>
        <w:spacing w:after="60" w:line="240" w:lineRule="auto"/>
        <w:jc w:val="both"/>
        <w:rPr>
          <w:rFonts w:ascii="Times New Roman" w:eastAsiaTheme="minorEastAsia" w:hAnsi="Times New Roman" w:cs="Times New Roman"/>
          <w:b/>
          <w:kern w:val="0"/>
          <w:u w:val="single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kern w:val="0"/>
          <w:u w:val="single"/>
          <w:lang w:val="en-US"/>
          <w14:ligatures w14:val="none"/>
        </w:rPr>
        <w:t>LEGAL EDUCATION</w:t>
      </w:r>
    </w:p>
    <w:p w14:paraId="08C7661E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smallCaps/>
          <w:kern w:val="0"/>
          <w:lang w:val="en-US"/>
          <w14:ligatures w14:val="none"/>
        </w:rPr>
        <w:t>Georgetown University Law Center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Washington, D.C.</w:t>
      </w:r>
    </w:p>
    <w:p w14:paraId="64A551AE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iCs/>
          <w:kern w:val="0"/>
          <w:lang w:val="en-US"/>
          <w14:ligatures w14:val="none"/>
        </w:rPr>
        <w:t>Master of Laws in International Business and Economics Law (LL.M.)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May 2022</w:t>
      </w:r>
    </w:p>
    <w:p w14:paraId="454484FE" w14:textId="77777777" w:rsidR="00CA68C7" w:rsidRPr="00CA68C7" w:rsidRDefault="00CA68C7" w:rsidP="00CA68C7">
      <w:pPr>
        <w:numPr>
          <w:ilvl w:val="0"/>
          <w:numId w:val="4"/>
        </w:num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u w:val="single"/>
          <w:lang w:val="en-US"/>
          <w14:ligatures w14:val="none"/>
        </w:rPr>
        <w:t>Certificate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: International Arbitration and Dispute Resolution</w:t>
      </w:r>
    </w:p>
    <w:p w14:paraId="70AEDC50" w14:textId="77777777" w:rsidR="00CA68C7" w:rsidRPr="00CA68C7" w:rsidRDefault="00CA68C7" w:rsidP="00CA68C7">
      <w:pPr>
        <w:numPr>
          <w:ilvl w:val="0"/>
          <w:numId w:val="4"/>
        </w:num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u w:val="single"/>
          <w:lang w:val="en-US"/>
          <w14:ligatures w14:val="none"/>
        </w:rPr>
        <w:t>Honors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: Georgetown Law Merit Scholarship, Dean’s List</w:t>
      </w:r>
    </w:p>
    <w:p w14:paraId="7F46D34F" w14:textId="77777777" w:rsidR="00CA68C7" w:rsidRPr="00CA68C7" w:rsidRDefault="00CA68C7" w:rsidP="00CA68C7">
      <w:pPr>
        <w:numPr>
          <w:ilvl w:val="0"/>
          <w:numId w:val="4"/>
        </w:num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kern w:val="0"/>
          <w:u w:val="single"/>
          <w:lang w:val="en-US"/>
          <w14:ligatures w14:val="none"/>
        </w:rPr>
        <w:t>Activities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>: LL.M. Representative, Georgetown International Law Society; Student Member, South Asian Bar Association</w:t>
      </w:r>
    </w:p>
    <w:p w14:paraId="5B256D6A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kern w:val="0"/>
          <w:sz w:val="16"/>
          <w:szCs w:val="16"/>
          <w:lang w:val="en-US"/>
          <w14:ligatures w14:val="none"/>
        </w:rPr>
      </w:pPr>
    </w:p>
    <w:p w14:paraId="45E3751E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 xml:space="preserve">Campus </w:t>
      </w:r>
      <w:r w:rsidRPr="00CA68C7">
        <w:rPr>
          <w:rFonts w:ascii="Times New Roman" w:eastAsiaTheme="minorEastAsia" w:hAnsi="Times New Roman" w:cs="Times New Roman"/>
          <w:b/>
          <w:bCs/>
          <w:caps/>
          <w:kern w:val="0"/>
          <w:lang w:val="en-US"/>
          <w14:ligatures w14:val="none"/>
        </w:rPr>
        <w:t>l</w:t>
      </w: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 xml:space="preserve">aw </w:t>
      </w:r>
      <w:r w:rsidRPr="00CA68C7">
        <w:rPr>
          <w:rFonts w:ascii="Times New Roman" w:eastAsiaTheme="minorEastAsia" w:hAnsi="Times New Roman" w:cs="Times New Roman"/>
          <w:b/>
          <w:bCs/>
          <w:caps/>
          <w:kern w:val="0"/>
          <w:lang w:val="en-US"/>
          <w14:ligatures w14:val="none"/>
        </w:rPr>
        <w:t>c</w:t>
      </w: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>enter, Faculty of Law, University of Delhi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Delhi, India</w:t>
      </w:r>
    </w:p>
    <w:p w14:paraId="4210D22B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kern w:val="0"/>
          <w:lang w:val="en-US"/>
          <w14:ligatures w14:val="none"/>
        </w:rPr>
        <w:t>Bachelor of Laws (LL.B.)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July 2014</w:t>
      </w:r>
    </w:p>
    <w:p w14:paraId="1A5BA666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kern w:val="0"/>
          <w:sz w:val="16"/>
          <w:szCs w:val="16"/>
          <w:lang w:val="en-US"/>
          <w14:ligatures w14:val="none"/>
        </w:rPr>
      </w:pPr>
    </w:p>
    <w:p w14:paraId="50487FD0" w14:textId="77777777" w:rsidR="00CA68C7" w:rsidRPr="00CA68C7" w:rsidRDefault="00CA68C7" w:rsidP="00CA68C7">
      <w:pPr>
        <w:tabs>
          <w:tab w:val="right" w:pos="10080"/>
        </w:tabs>
        <w:spacing w:before="60"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bCs/>
          <w:smallCaps/>
          <w:kern w:val="0"/>
          <w:lang w:val="en-US"/>
          <w14:ligatures w14:val="none"/>
        </w:rPr>
        <w:t>St. Stephen’s College, University of Delhi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Delhi, India</w:t>
      </w:r>
    </w:p>
    <w:p w14:paraId="085C24BC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i/>
          <w:kern w:val="0"/>
          <w:lang w:val="en-US"/>
          <w14:ligatures w14:val="none"/>
        </w:rPr>
        <w:t>Bachelor of Science in Physics</w:t>
      </w:r>
      <w:r w:rsidRPr="00CA68C7">
        <w:rPr>
          <w:rFonts w:ascii="Times New Roman" w:eastAsiaTheme="minorEastAsia" w:hAnsi="Times New Roman" w:cs="Times New Roman"/>
          <w:kern w:val="0"/>
          <w:lang w:val="en-US"/>
          <w14:ligatures w14:val="none"/>
        </w:rPr>
        <w:tab/>
        <w:t>July 2011</w:t>
      </w:r>
    </w:p>
    <w:p w14:paraId="51F9EF6D" w14:textId="77777777" w:rsidR="00CA68C7" w:rsidRPr="00CA68C7" w:rsidRDefault="00CA68C7" w:rsidP="00CA68C7">
      <w:pPr>
        <w:tabs>
          <w:tab w:val="right" w:pos="10080"/>
        </w:tabs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kern w:val="0"/>
          <w:sz w:val="16"/>
          <w:szCs w:val="16"/>
          <w:lang w:val="en-US"/>
          <w14:ligatures w14:val="none"/>
        </w:rPr>
      </w:pPr>
    </w:p>
    <w:p w14:paraId="7C630C19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u w:val="single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/>
          <w:kern w:val="0"/>
          <w:u w:val="single"/>
          <w:lang w:val="en-US"/>
          <w14:ligatures w14:val="none"/>
        </w:rPr>
        <w:t>ADDITIONAL INFORMATION</w:t>
      </w:r>
    </w:p>
    <w:p w14:paraId="2B6982C9" w14:textId="77777777" w:rsidR="00CA68C7" w:rsidRPr="00CA68C7" w:rsidRDefault="00CA68C7" w:rsidP="00CA68C7">
      <w:pPr>
        <w:numPr>
          <w:ilvl w:val="0"/>
          <w:numId w:val="5"/>
        </w:numPr>
        <w:tabs>
          <w:tab w:val="right" w:pos="10080"/>
        </w:tabs>
        <w:spacing w:before="60"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</w:pPr>
      <w:r w:rsidRPr="00CA68C7">
        <w:rPr>
          <w:rFonts w:ascii="Times New Roman" w:eastAsiaTheme="minorEastAsia" w:hAnsi="Times New Roman" w:cs="Times New Roman"/>
          <w:bCs/>
          <w:kern w:val="0"/>
          <w:u w:val="single"/>
          <w:lang w:val="en-US"/>
          <w14:ligatures w14:val="none"/>
        </w:rPr>
        <w:t>Language Skills</w:t>
      </w:r>
      <w:r w:rsidRPr="00CA68C7">
        <w:rPr>
          <w:rFonts w:ascii="Times New Roman" w:eastAsiaTheme="minorEastAsia" w:hAnsi="Times New Roman" w:cs="Times New Roman"/>
          <w:bCs/>
          <w:kern w:val="0"/>
          <w:lang w:val="en-US"/>
          <w14:ligatures w14:val="none"/>
        </w:rPr>
        <w:t>: English (Fluent), Hindi (Native)</w:t>
      </w:r>
    </w:p>
    <w:p w14:paraId="09CB11E5" w14:textId="77777777" w:rsidR="00CA68C7" w:rsidRPr="00CA68C7" w:rsidRDefault="00CA68C7" w:rsidP="00CA68C7">
      <w:pPr>
        <w:tabs>
          <w:tab w:val="right" w:pos="10080"/>
        </w:tabs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lang w:val="en-US"/>
          <w14:ligatures w14:val="none"/>
        </w:rPr>
      </w:pPr>
    </w:p>
    <w:bookmarkEnd w:id="0"/>
    <w:p w14:paraId="4E7A2C7F" w14:textId="77777777" w:rsidR="00CA68C7" w:rsidRPr="00CA68C7" w:rsidRDefault="00CA68C7" w:rsidP="00CA68C7">
      <w:pPr>
        <w:spacing w:after="200" w:line="276" w:lineRule="auto"/>
        <w:rPr>
          <w:rFonts w:eastAsiaTheme="minorEastAsia"/>
          <w:kern w:val="0"/>
          <w:lang w:val="en-US"/>
          <w14:ligatures w14:val="none"/>
        </w:rPr>
      </w:pPr>
    </w:p>
    <w:p w14:paraId="1AE488D3" w14:textId="77777777" w:rsidR="00000000" w:rsidRDefault="00000000"/>
    <w:sectPr w:rsidR="00D9434C" w:rsidSect="00D15343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720" w:right="1008" w:bottom="274" w:left="1008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B11DAD" w14:paraId="339DBD4B" w14:textId="77777777" w:rsidTr="486A267C">
      <w:tc>
        <w:tcPr>
          <w:tcW w:w="3360" w:type="dxa"/>
        </w:tcPr>
        <w:p w14:paraId="7C9069BC" w14:textId="77777777" w:rsidR="00000000" w:rsidRDefault="00000000" w:rsidP="486A267C">
          <w:pPr>
            <w:pStyle w:val="Header"/>
            <w:ind w:left="-115"/>
          </w:pPr>
        </w:p>
      </w:tc>
      <w:tc>
        <w:tcPr>
          <w:tcW w:w="3360" w:type="dxa"/>
        </w:tcPr>
        <w:p w14:paraId="4B3558EB" w14:textId="77777777" w:rsidR="00000000" w:rsidRDefault="00000000" w:rsidP="486A267C">
          <w:pPr>
            <w:pStyle w:val="Header"/>
            <w:jc w:val="center"/>
          </w:pPr>
        </w:p>
      </w:tc>
      <w:tc>
        <w:tcPr>
          <w:tcW w:w="3360" w:type="dxa"/>
        </w:tcPr>
        <w:p w14:paraId="58A10084" w14:textId="77777777" w:rsidR="00000000" w:rsidRDefault="00000000" w:rsidP="486A267C">
          <w:pPr>
            <w:pStyle w:val="Header"/>
            <w:ind w:right="-115"/>
            <w:jc w:val="right"/>
          </w:pPr>
        </w:p>
      </w:tc>
    </w:tr>
  </w:tbl>
  <w:p w14:paraId="4573AAF5" w14:textId="77777777" w:rsidR="00000000" w:rsidRPr="00632EB5" w:rsidRDefault="00000000" w:rsidP="006F2425">
    <w:pPr>
      <w:pStyle w:val="Footer"/>
      <w:jc w:val="center"/>
      <w:rPr>
        <w:rFonts w:ascii="Garamond" w:hAnsi="Garamond"/>
      </w:rPr>
    </w:pPr>
    <w:r w:rsidRPr="00632EB5">
      <w:rPr>
        <w:rFonts w:ascii="Garamond" w:hAnsi="Garamond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B11DAD" w14:paraId="6B2054E8" w14:textId="77777777" w:rsidTr="486A267C">
      <w:tc>
        <w:tcPr>
          <w:tcW w:w="3360" w:type="dxa"/>
        </w:tcPr>
        <w:p w14:paraId="1C514A84" w14:textId="77777777" w:rsidR="00000000" w:rsidRDefault="00000000" w:rsidP="486A267C">
          <w:pPr>
            <w:pStyle w:val="Header"/>
            <w:ind w:left="-115"/>
          </w:pPr>
        </w:p>
      </w:tc>
      <w:tc>
        <w:tcPr>
          <w:tcW w:w="3360" w:type="dxa"/>
        </w:tcPr>
        <w:p w14:paraId="75A47B2C" w14:textId="77777777" w:rsidR="00000000" w:rsidRDefault="00000000" w:rsidP="486A267C">
          <w:pPr>
            <w:pStyle w:val="Header"/>
            <w:jc w:val="center"/>
          </w:pPr>
        </w:p>
      </w:tc>
      <w:tc>
        <w:tcPr>
          <w:tcW w:w="3360" w:type="dxa"/>
        </w:tcPr>
        <w:p w14:paraId="4216434A" w14:textId="77777777" w:rsidR="00000000" w:rsidRDefault="00000000" w:rsidP="486A267C">
          <w:pPr>
            <w:pStyle w:val="Header"/>
            <w:ind w:right="-115"/>
            <w:jc w:val="right"/>
          </w:pPr>
        </w:p>
      </w:tc>
    </w:tr>
  </w:tbl>
  <w:p w14:paraId="52663F1E" w14:textId="77777777" w:rsidR="00000000" w:rsidRPr="00632EB5" w:rsidRDefault="00000000" w:rsidP="006F2425">
    <w:pPr>
      <w:pStyle w:val="Footer"/>
      <w:jc w:val="center"/>
      <w:rPr>
        <w:rFonts w:ascii="Garamond" w:hAnsi="Garamond"/>
      </w:rPr>
    </w:pPr>
    <w:r w:rsidRPr="00632EB5">
      <w:rPr>
        <w:rFonts w:ascii="Garamond" w:hAnsi="Garamond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E7B7" w14:textId="77777777" w:rsidR="00000000" w:rsidRDefault="00000000" w:rsidP="00080E63">
    <w:pPr>
      <w:pStyle w:val="Header"/>
      <w:jc w:val="right"/>
    </w:pPr>
  </w:p>
  <w:p w14:paraId="570B40AE" w14:textId="77777777" w:rsidR="00000000" w:rsidRDefault="00000000" w:rsidP="00080E63">
    <w:pPr>
      <w:pStyle w:val="Header"/>
      <w:jc w:val="right"/>
    </w:pPr>
  </w:p>
  <w:p w14:paraId="65BD2DF2" w14:textId="77777777" w:rsidR="00000000" w:rsidRDefault="00000000" w:rsidP="00080E63">
    <w:pPr>
      <w:pStyle w:val="Header"/>
      <w:jc w:val="right"/>
    </w:pPr>
  </w:p>
  <w:p w14:paraId="25989BD8" w14:textId="77777777" w:rsidR="00000000" w:rsidRDefault="00000000" w:rsidP="00080E63">
    <w:pPr>
      <w:pStyle w:val="Header"/>
      <w:jc w:val="right"/>
      <w:rPr>
        <w:rFonts w:ascii="Garamond" w:hAnsi="Garamond"/>
      </w:rPr>
    </w:pPr>
    <w:r>
      <w:rPr>
        <w:rFonts w:ascii="Garamond" w:hAnsi="Garamond"/>
      </w:rPr>
      <w:t>Reeja Elizabeth Varghese</w:t>
    </w:r>
  </w:p>
  <w:p w14:paraId="6A9F7BC4" w14:textId="77777777" w:rsidR="00000000" w:rsidRPr="00080E63" w:rsidRDefault="00000000" w:rsidP="00080E63">
    <w:pPr>
      <w:pStyle w:val="Header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B11DAD" w14:paraId="109C79F2" w14:textId="77777777" w:rsidTr="005F032A">
      <w:trPr>
        <w:trHeight w:val="80"/>
      </w:trPr>
      <w:tc>
        <w:tcPr>
          <w:tcW w:w="3360" w:type="dxa"/>
        </w:tcPr>
        <w:p w14:paraId="175FF6FC" w14:textId="77777777" w:rsidR="00000000" w:rsidRDefault="00000000" w:rsidP="486A267C">
          <w:pPr>
            <w:pStyle w:val="Header"/>
            <w:ind w:left="-115"/>
          </w:pPr>
        </w:p>
      </w:tc>
      <w:tc>
        <w:tcPr>
          <w:tcW w:w="3360" w:type="dxa"/>
        </w:tcPr>
        <w:p w14:paraId="5792D2DA" w14:textId="77777777" w:rsidR="00000000" w:rsidRDefault="00000000" w:rsidP="486A267C">
          <w:pPr>
            <w:pStyle w:val="Header"/>
            <w:jc w:val="center"/>
          </w:pPr>
        </w:p>
      </w:tc>
      <w:tc>
        <w:tcPr>
          <w:tcW w:w="3360" w:type="dxa"/>
        </w:tcPr>
        <w:p w14:paraId="36AFC81B" w14:textId="77777777" w:rsidR="00000000" w:rsidRDefault="00000000" w:rsidP="486A267C">
          <w:pPr>
            <w:pStyle w:val="Header"/>
            <w:ind w:right="-115"/>
            <w:jc w:val="right"/>
          </w:pPr>
        </w:p>
      </w:tc>
    </w:tr>
  </w:tbl>
  <w:p w14:paraId="5DFEECFD" w14:textId="77777777" w:rsidR="00000000" w:rsidRDefault="00000000" w:rsidP="486A2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C9E"/>
    <w:multiLevelType w:val="hybridMultilevel"/>
    <w:tmpl w:val="0E4272E0"/>
    <w:lvl w:ilvl="0" w:tplc="CD2CB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2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08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A7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4A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E3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8E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6A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C1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3D7"/>
    <w:multiLevelType w:val="hybridMultilevel"/>
    <w:tmpl w:val="3E4A22E2"/>
    <w:lvl w:ilvl="0" w:tplc="DAC66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E9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E9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9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2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E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EA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A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CB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C3072"/>
    <w:multiLevelType w:val="hybridMultilevel"/>
    <w:tmpl w:val="33A81D56"/>
    <w:lvl w:ilvl="0" w:tplc="53E84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AC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0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82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42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09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E6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7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29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CA7"/>
    <w:multiLevelType w:val="hybridMultilevel"/>
    <w:tmpl w:val="F0E8A45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99613CC"/>
    <w:multiLevelType w:val="hybridMultilevel"/>
    <w:tmpl w:val="51D276E2"/>
    <w:lvl w:ilvl="0" w:tplc="5BAA1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0F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6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05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A7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8C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7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8D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35D7F"/>
    <w:multiLevelType w:val="hybridMultilevel"/>
    <w:tmpl w:val="25AEC7EA"/>
    <w:lvl w:ilvl="0" w:tplc="3C68BF1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AC0FD74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464B0D6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7EFE43B6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1880F10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570AA3C2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BB22850E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E74E627E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A8AA8F4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05367885">
    <w:abstractNumId w:val="4"/>
  </w:num>
  <w:num w:numId="2" w16cid:durableId="2074312111">
    <w:abstractNumId w:val="1"/>
  </w:num>
  <w:num w:numId="3" w16cid:durableId="2143037576">
    <w:abstractNumId w:val="0"/>
  </w:num>
  <w:num w:numId="4" w16cid:durableId="763770032">
    <w:abstractNumId w:val="5"/>
  </w:num>
  <w:num w:numId="5" w16cid:durableId="1743134380">
    <w:abstractNumId w:val="2"/>
  </w:num>
  <w:num w:numId="6" w16cid:durableId="580335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C7"/>
    <w:rsid w:val="000B0BC0"/>
    <w:rsid w:val="001D5041"/>
    <w:rsid w:val="00670CF6"/>
    <w:rsid w:val="00777070"/>
    <w:rsid w:val="00872E8E"/>
    <w:rsid w:val="00AF25DF"/>
    <w:rsid w:val="00CA68C7"/>
    <w:rsid w:val="00D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21EE"/>
  <w15:chartTrackingRefBased/>
  <w15:docId w15:val="{1EC95C03-EE09-414B-A379-9568FE7E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8C7"/>
  </w:style>
  <w:style w:type="paragraph" w:styleId="Footer">
    <w:name w:val="footer"/>
    <w:basedOn w:val="Normal"/>
    <w:link w:val="FooterChar"/>
    <w:uiPriority w:val="99"/>
    <w:semiHidden/>
    <w:unhideWhenUsed/>
    <w:rsid w:val="00CA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Reeja Varghese</dc:creator>
  <cp:keywords/>
  <dc:description/>
  <cp:lastModifiedBy>Reeja Varghese</cp:lastModifiedBy>
  <cp:revision>2</cp:revision>
  <dcterms:created xsi:type="dcterms:W3CDTF">2023-10-20T02:11:00Z</dcterms:created>
  <dcterms:modified xsi:type="dcterms:W3CDTF">2023-10-23T21:49:00Z</dcterms:modified>
</cp:coreProperties>
</file>